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49BC" w14:textId="6F5F646B" w:rsidR="00DB4143" w:rsidRDefault="006646B8" w:rsidP="002D57BF">
      <w:pPr>
        <w:jc w:val="center"/>
        <w:rPr>
          <w:sz w:val="32"/>
          <w:szCs w:val="32"/>
        </w:rPr>
      </w:pPr>
      <w:r w:rsidRPr="002D57BF">
        <w:rPr>
          <w:sz w:val="32"/>
          <w:szCs w:val="32"/>
        </w:rPr>
        <w:t>Questions and Answers – Guardian of the Arches Feb Webinar</w:t>
      </w:r>
    </w:p>
    <w:p w14:paraId="37859752" w14:textId="77777777" w:rsidR="002D57BF" w:rsidRPr="002D57BF" w:rsidRDefault="002D57BF" w:rsidP="002D57BF">
      <w:pPr>
        <w:jc w:val="center"/>
        <w:rPr>
          <w:sz w:val="32"/>
          <w:szCs w:val="32"/>
        </w:rPr>
      </w:pPr>
    </w:p>
    <w:p w14:paraId="053D59FA" w14:textId="77777777" w:rsidR="002D57BF" w:rsidRDefault="002D57BF" w:rsidP="002D57BF">
      <w:pPr>
        <w:pStyle w:val="ListParagraph"/>
        <w:numPr>
          <w:ilvl w:val="0"/>
          <w:numId w:val="2"/>
        </w:numPr>
      </w:pPr>
      <w:r>
        <w:t xml:space="preserve">'How do we deal with a </w:t>
      </w:r>
      <w:proofErr w:type="gramStart"/>
      <w:r>
        <w:t>Landlord</w:t>
      </w:r>
      <w:proofErr w:type="gramEnd"/>
      <w:r>
        <w:t xml:space="preserve"> who won't provide us with all the necessary information to be able to propose a repayment plan with them' </w:t>
      </w:r>
    </w:p>
    <w:p w14:paraId="0CC39B99" w14:textId="77777777" w:rsidR="002D57BF" w:rsidRDefault="002D57BF" w:rsidP="002D57BF">
      <w:pPr>
        <w:pStyle w:val="ListParagraph"/>
        <w:rPr>
          <w:b/>
          <w:bCs/>
        </w:rPr>
      </w:pPr>
    </w:p>
    <w:p w14:paraId="370D0154" w14:textId="1B0AEA1A" w:rsidR="002D57BF" w:rsidRDefault="002D57BF" w:rsidP="002D57BF">
      <w:pPr>
        <w:pStyle w:val="ListParagraph"/>
      </w:pPr>
      <w:r w:rsidRPr="002D57BF">
        <w:rPr>
          <w:b/>
          <w:bCs/>
        </w:rPr>
        <w:t>You can establish your own “in principle” figure and make their refusal to confirm part of the dispute you raise in the Arbitration.</w:t>
      </w:r>
    </w:p>
    <w:p w14:paraId="172B4179" w14:textId="77777777" w:rsidR="00DB4143" w:rsidRDefault="00DB4143" w:rsidP="00DB4143"/>
    <w:p w14:paraId="7DD7B1EB" w14:textId="77777777" w:rsidR="002D57BF" w:rsidRDefault="00DB4143" w:rsidP="002D57BF">
      <w:pPr>
        <w:pStyle w:val="ListParagraph"/>
        <w:numPr>
          <w:ilvl w:val="0"/>
          <w:numId w:val="2"/>
        </w:numPr>
      </w:pPr>
      <w:r>
        <w:t xml:space="preserve">We're in an ongoing battle regarding service charges </w:t>
      </w:r>
      <w:r w:rsidR="006646B8">
        <w:t>we’ve</w:t>
      </w:r>
      <w:r>
        <w:t xml:space="preserve"> been paying on both properties for 10 years - when the services </w:t>
      </w:r>
      <w:r w:rsidR="006646B8">
        <w:t>they’re</w:t>
      </w:r>
      <w:r>
        <w:t xml:space="preserve"> charging for have never been carried out, not even once in 10 years.</w:t>
      </w:r>
      <w:r w:rsidR="00C253F6">
        <w:t xml:space="preserve"> </w:t>
      </w:r>
    </w:p>
    <w:p w14:paraId="56D18911" w14:textId="77777777" w:rsidR="002D57BF" w:rsidRPr="002D57BF" w:rsidRDefault="002D57BF" w:rsidP="002D57BF">
      <w:pPr>
        <w:pStyle w:val="ListParagraph"/>
        <w:rPr>
          <w:b/>
          <w:bCs/>
        </w:rPr>
      </w:pPr>
    </w:p>
    <w:p w14:paraId="37D94A47" w14:textId="07A2B6C8" w:rsidR="00DB4143" w:rsidRDefault="00C253F6" w:rsidP="002D57BF">
      <w:pPr>
        <w:pStyle w:val="ListParagraph"/>
        <w:rPr>
          <w:b/>
          <w:bCs/>
        </w:rPr>
      </w:pPr>
      <w:r w:rsidRPr="002D57BF">
        <w:rPr>
          <w:b/>
          <w:bCs/>
        </w:rPr>
        <w:t xml:space="preserve">These </w:t>
      </w:r>
      <w:r w:rsidR="006646B8" w:rsidRPr="002D57BF">
        <w:rPr>
          <w:b/>
          <w:bCs/>
        </w:rPr>
        <w:t xml:space="preserve">types of </w:t>
      </w:r>
      <w:r w:rsidRPr="002D57BF">
        <w:rPr>
          <w:b/>
          <w:bCs/>
        </w:rPr>
        <w:t>disputes and grievances are not in scope</w:t>
      </w:r>
      <w:r w:rsidR="006646B8" w:rsidRPr="002D57BF">
        <w:rPr>
          <w:b/>
          <w:bCs/>
        </w:rPr>
        <w:t xml:space="preserve"> of the legislation, refer to your contract for redress as it may have a right to dispute resolution</w:t>
      </w:r>
      <w:r w:rsidRPr="002D57BF">
        <w:rPr>
          <w:b/>
          <w:bCs/>
        </w:rPr>
        <w:t>.</w:t>
      </w:r>
      <w:r w:rsidR="006646B8" w:rsidRPr="002D57BF">
        <w:rPr>
          <w:b/>
          <w:bCs/>
        </w:rPr>
        <w:t xml:space="preserve"> You can look at this service - </w:t>
      </w:r>
      <w:hyperlink r:id="rId5" w:history="1">
        <w:r w:rsidR="006646B8" w:rsidRPr="002D57BF">
          <w:rPr>
            <w:rStyle w:val="Hyperlink"/>
            <w:b/>
            <w:bCs/>
          </w:rPr>
          <w:t>https://ciarb.org/disputes/pandemic-business-dispute-resolution/</w:t>
        </w:r>
      </w:hyperlink>
      <w:r w:rsidR="006646B8" w:rsidRPr="002D57BF">
        <w:rPr>
          <w:b/>
          <w:bCs/>
        </w:rPr>
        <w:t xml:space="preserve"> </w:t>
      </w:r>
    </w:p>
    <w:p w14:paraId="084AC901" w14:textId="77777777" w:rsidR="002D57BF" w:rsidRDefault="002D57BF" w:rsidP="002D57BF">
      <w:pPr>
        <w:pStyle w:val="ListParagraph"/>
      </w:pPr>
    </w:p>
    <w:p w14:paraId="16A8D502" w14:textId="77777777" w:rsidR="002D57BF" w:rsidRDefault="00DB4143" w:rsidP="002D57BF">
      <w:pPr>
        <w:pStyle w:val="ListParagraph"/>
        <w:numPr>
          <w:ilvl w:val="0"/>
          <w:numId w:val="2"/>
        </w:numPr>
      </w:pPr>
      <w:r>
        <w:t xml:space="preserve">Do we push for better conditions, </w:t>
      </w:r>
      <w:r w:rsidR="006646B8">
        <w:t>resign</w:t>
      </w:r>
      <w:r>
        <w:t xml:space="preserve"> the </w:t>
      </w:r>
      <w:proofErr w:type="gramStart"/>
      <w:r>
        <w:t>lease</w:t>
      </w:r>
      <w:proofErr w:type="gramEnd"/>
      <w:r>
        <w:t xml:space="preserve"> and put our notice in afterwards so we can move to a more affordable property, or simply put in our notice before signing the lease, if we did the </w:t>
      </w:r>
      <w:r w:rsidR="006646B8">
        <w:t>latter, how</w:t>
      </w:r>
      <w:r>
        <w:t xml:space="preserve"> would we mitigate the arrears?</w:t>
      </w:r>
      <w:r w:rsidR="006646B8">
        <w:t xml:space="preserve"> </w:t>
      </w:r>
      <w:r>
        <w:t>We have a guarantor and the last thing we want is for the guarantor to be held responsible.</w:t>
      </w:r>
    </w:p>
    <w:p w14:paraId="57572530" w14:textId="77777777" w:rsidR="002D57BF" w:rsidRDefault="002D57BF" w:rsidP="002D57BF">
      <w:pPr>
        <w:pStyle w:val="ListParagraph"/>
        <w:rPr>
          <w:b/>
          <w:bCs/>
        </w:rPr>
      </w:pPr>
    </w:p>
    <w:p w14:paraId="0B5B2195" w14:textId="4735003E" w:rsidR="00DB4143" w:rsidRPr="002D57BF" w:rsidRDefault="00C253F6" w:rsidP="002D57BF">
      <w:pPr>
        <w:pStyle w:val="ListParagraph"/>
      </w:pPr>
      <w:r w:rsidRPr="002D57BF">
        <w:rPr>
          <w:b/>
          <w:bCs/>
        </w:rPr>
        <w:t>The treat of PRD is good leverage to striking a new deal</w:t>
      </w:r>
      <w:r w:rsidR="006646B8" w:rsidRPr="002D57BF">
        <w:rPr>
          <w:b/>
          <w:bCs/>
        </w:rPr>
        <w:t xml:space="preserve"> (new rent and </w:t>
      </w:r>
      <w:r w:rsidR="006646B8" w:rsidRPr="002D57BF">
        <w:rPr>
          <w:b/>
          <w:bCs/>
        </w:rPr>
        <w:t>arrangement</w:t>
      </w:r>
      <w:r w:rsidR="006646B8" w:rsidRPr="002D57BF">
        <w:rPr>
          <w:b/>
          <w:bCs/>
        </w:rPr>
        <w:t xml:space="preserve"> on historic debt)</w:t>
      </w:r>
      <w:r w:rsidRPr="002D57BF">
        <w:rPr>
          <w:b/>
          <w:bCs/>
        </w:rPr>
        <w:t xml:space="preserve">, this is </w:t>
      </w:r>
      <w:r w:rsidR="006646B8" w:rsidRPr="002D57BF">
        <w:rPr>
          <w:b/>
          <w:bCs/>
        </w:rPr>
        <w:t xml:space="preserve">becoming </w:t>
      </w:r>
      <w:r w:rsidR="006646B8" w:rsidRPr="002D57BF">
        <w:rPr>
          <w:b/>
          <w:bCs/>
        </w:rPr>
        <w:t>a common</w:t>
      </w:r>
      <w:r w:rsidRPr="002D57BF">
        <w:rPr>
          <w:b/>
          <w:bCs/>
        </w:rPr>
        <w:t xml:space="preserve"> feature of the post pandemic property sector</w:t>
      </w:r>
      <w:r w:rsidR="006646B8" w:rsidRPr="002D57BF">
        <w:rPr>
          <w:b/>
          <w:bCs/>
        </w:rPr>
        <w:t xml:space="preserve"> negotiations</w:t>
      </w:r>
      <w:r w:rsidRPr="002D57BF">
        <w:rPr>
          <w:b/>
          <w:bCs/>
        </w:rPr>
        <w:t>.</w:t>
      </w:r>
    </w:p>
    <w:p w14:paraId="57E37F13" w14:textId="4D8EEAB9" w:rsidR="00DB4143" w:rsidRDefault="00DB4143" w:rsidP="00DB4143"/>
    <w:p w14:paraId="65C8F20B" w14:textId="68FA784B" w:rsidR="006646B8" w:rsidRDefault="00DB4143" w:rsidP="002D57BF">
      <w:pPr>
        <w:pStyle w:val="ListParagraph"/>
        <w:numPr>
          <w:ilvl w:val="0"/>
          <w:numId w:val="2"/>
        </w:numPr>
      </w:pPr>
      <w:r>
        <w:t>Do you believe that the bill will become law on the 25th of March or are we anticipating delays or even earlier?</w:t>
      </w:r>
    </w:p>
    <w:p w14:paraId="6E824FB0" w14:textId="77777777" w:rsidR="002D57BF" w:rsidRDefault="002D57BF" w:rsidP="006646B8">
      <w:pPr>
        <w:pStyle w:val="ListParagraph"/>
        <w:rPr>
          <w:b/>
          <w:bCs/>
        </w:rPr>
      </w:pPr>
    </w:p>
    <w:p w14:paraId="45B4BB26" w14:textId="453A7409" w:rsidR="00093700" w:rsidRDefault="00093700" w:rsidP="006646B8">
      <w:pPr>
        <w:pStyle w:val="ListParagraph"/>
        <w:rPr>
          <w:b/>
          <w:bCs/>
        </w:rPr>
      </w:pPr>
      <w:r w:rsidRPr="006646B8">
        <w:rPr>
          <w:b/>
          <w:bCs/>
        </w:rPr>
        <w:t>No delays</w:t>
      </w:r>
      <w:r w:rsidR="006646B8">
        <w:rPr>
          <w:b/>
          <w:bCs/>
        </w:rPr>
        <w:t xml:space="preserve"> -</w:t>
      </w:r>
      <w:r w:rsidRPr="006646B8">
        <w:rPr>
          <w:b/>
          <w:bCs/>
        </w:rPr>
        <w:t xml:space="preserve"> the bill is </w:t>
      </w:r>
      <w:r w:rsidR="006646B8" w:rsidRPr="006646B8">
        <w:rPr>
          <w:b/>
          <w:bCs/>
        </w:rPr>
        <w:t>Gov</w:t>
      </w:r>
      <w:r w:rsidR="006646B8">
        <w:rPr>
          <w:b/>
          <w:bCs/>
        </w:rPr>
        <w:t>ernmen</w:t>
      </w:r>
      <w:r w:rsidR="006646B8" w:rsidRPr="006646B8">
        <w:rPr>
          <w:b/>
          <w:bCs/>
        </w:rPr>
        <w:t>t</w:t>
      </w:r>
      <w:r w:rsidR="006646B8">
        <w:rPr>
          <w:b/>
          <w:bCs/>
        </w:rPr>
        <w:t xml:space="preserve"> </w:t>
      </w:r>
      <w:proofErr w:type="gramStart"/>
      <w:r w:rsidR="006646B8">
        <w:rPr>
          <w:b/>
          <w:bCs/>
        </w:rPr>
        <w:t>led</w:t>
      </w:r>
      <w:r w:rsidR="006646B8" w:rsidRPr="006646B8">
        <w:rPr>
          <w:b/>
          <w:bCs/>
        </w:rPr>
        <w:t>,</w:t>
      </w:r>
      <w:r w:rsidRPr="006646B8">
        <w:rPr>
          <w:b/>
          <w:bCs/>
        </w:rPr>
        <w:t xml:space="preserve"> and</w:t>
      </w:r>
      <w:proofErr w:type="gramEnd"/>
      <w:r w:rsidRPr="006646B8">
        <w:rPr>
          <w:b/>
          <w:bCs/>
        </w:rPr>
        <w:t xml:space="preserve"> </w:t>
      </w:r>
      <w:r w:rsidR="006646B8">
        <w:rPr>
          <w:b/>
          <w:bCs/>
        </w:rPr>
        <w:t xml:space="preserve">has </w:t>
      </w:r>
      <w:r w:rsidRPr="006646B8">
        <w:rPr>
          <w:b/>
          <w:bCs/>
        </w:rPr>
        <w:t>cross party support.</w:t>
      </w:r>
    </w:p>
    <w:p w14:paraId="4A2228DD" w14:textId="77777777" w:rsidR="006646B8" w:rsidRDefault="006646B8" w:rsidP="006646B8">
      <w:pPr>
        <w:pStyle w:val="ListParagraph"/>
      </w:pPr>
    </w:p>
    <w:p w14:paraId="73AF872F" w14:textId="2FE20232" w:rsidR="006646B8" w:rsidRDefault="00DB4143" w:rsidP="002D57BF">
      <w:pPr>
        <w:pStyle w:val="ListParagraph"/>
        <w:numPr>
          <w:ilvl w:val="0"/>
          <w:numId w:val="2"/>
        </w:numPr>
      </w:pPr>
      <w:r>
        <w:t>What happens to companies that are out of the scope of the bill?</w:t>
      </w:r>
      <w:r w:rsidR="00093700">
        <w:t xml:space="preserve"> </w:t>
      </w:r>
    </w:p>
    <w:p w14:paraId="3923AAC2" w14:textId="77777777" w:rsidR="002D57BF" w:rsidRDefault="002D57BF" w:rsidP="006646B8">
      <w:pPr>
        <w:pStyle w:val="ListParagraph"/>
        <w:rPr>
          <w:b/>
          <w:bCs/>
        </w:rPr>
      </w:pPr>
    </w:p>
    <w:p w14:paraId="52A79DEA" w14:textId="18380BA6" w:rsidR="00DB4143" w:rsidRDefault="00093700" w:rsidP="006646B8">
      <w:pPr>
        <w:pStyle w:val="ListParagraph"/>
        <w:rPr>
          <w:b/>
          <w:bCs/>
        </w:rPr>
      </w:pPr>
      <w:r w:rsidRPr="006646B8">
        <w:rPr>
          <w:b/>
          <w:bCs/>
        </w:rPr>
        <w:t>Their landlords can pursue them in the normal way.</w:t>
      </w:r>
    </w:p>
    <w:p w14:paraId="60557732" w14:textId="77777777" w:rsidR="006646B8" w:rsidRDefault="006646B8" w:rsidP="006646B8">
      <w:pPr>
        <w:pStyle w:val="ListParagraph"/>
      </w:pPr>
    </w:p>
    <w:p w14:paraId="67EAA427" w14:textId="2FA84B7A" w:rsidR="006646B8" w:rsidRDefault="00DB4143" w:rsidP="002D57BF">
      <w:pPr>
        <w:pStyle w:val="ListParagraph"/>
        <w:numPr>
          <w:ilvl w:val="0"/>
          <w:numId w:val="2"/>
        </w:numPr>
      </w:pPr>
      <w:r>
        <w:t xml:space="preserve">Is it correct to say or have I misunderstood that when the bill becomes law </w:t>
      </w:r>
      <w:proofErr w:type="gramStart"/>
      <w:r>
        <w:t>there</w:t>
      </w:r>
      <w:proofErr w:type="gramEnd"/>
      <w:r>
        <w:t xml:space="preserve"> will be a 6 months extension of evictions?</w:t>
      </w:r>
      <w:r w:rsidR="00093700">
        <w:t xml:space="preserve"> </w:t>
      </w:r>
    </w:p>
    <w:p w14:paraId="395CD0EB" w14:textId="77777777" w:rsidR="002D57BF" w:rsidRDefault="002D57BF" w:rsidP="006646B8">
      <w:pPr>
        <w:pStyle w:val="ListParagraph"/>
        <w:rPr>
          <w:b/>
          <w:bCs/>
        </w:rPr>
      </w:pPr>
    </w:p>
    <w:p w14:paraId="0362017D" w14:textId="6ED95A38" w:rsidR="00DB4143" w:rsidRDefault="006646B8" w:rsidP="006646B8">
      <w:pPr>
        <w:pStyle w:val="ListParagraph"/>
        <w:rPr>
          <w:b/>
          <w:bCs/>
        </w:rPr>
      </w:pPr>
      <w:r>
        <w:rPr>
          <w:b/>
          <w:bCs/>
        </w:rPr>
        <w:t>T</w:t>
      </w:r>
      <w:r w:rsidR="00093700" w:rsidRPr="006646B8">
        <w:rPr>
          <w:b/>
          <w:bCs/>
        </w:rPr>
        <w:t>he protection extends to at least 6 months and can be extended by the arbitration having not handed down an award.</w:t>
      </w:r>
    </w:p>
    <w:p w14:paraId="23670F35" w14:textId="43BF1748" w:rsidR="002D57BF" w:rsidRDefault="002D57BF" w:rsidP="006646B8">
      <w:pPr>
        <w:pStyle w:val="ListParagraph"/>
        <w:rPr>
          <w:b/>
          <w:bCs/>
        </w:rPr>
      </w:pPr>
    </w:p>
    <w:p w14:paraId="14ECF362" w14:textId="6141C25A" w:rsidR="002D57BF" w:rsidRDefault="002D57BF" w:rsidP="006646B8">
      <w:pPr>
        <w:pStyle w:val="ListParagraph"/>
        <w:rPr>
          <w:b/>
          <w:bCs/>
        </w:rPr>
      </w:pPr>
    </w:p>
    <w:p w14:paraId="32C9E909" w14:textId="6E63DD47" w:rsidR="002D57BF" w:rsidRPr="002D57BF" w:rsidRDefault="002D57BF" w:rsidP="006646B8">
      <w:pPr>
        <w:pStyle w:val="ListParagraph"/>
      </w:pPr>
      <w:r w:rsidRPr="002D57BF">
        <w:t>(</w:t>
      </w:r>
      <w:proofErr w:type="spellStart"/>
      <w:r w:rsidRPr="002D57BF">
        <w:t>Contd</w:t>
      </w:r>
      <w:proofErr w:type="spellEnd"/>
      <w:r w:rsidRPr="002D57BF">
        <w:t>)</w:t>
      </w:r>
    </w:p>
    <w:p w14:paraId="6E1BFA54" w14:textId="77777777" w:rsidR="006646B8" w:rsidRDefault="006646B8" w:rsidP="006646B8">
      <w:pPr>
        <w:pStyle w:val="ListParagraph"/>
      </w:pPr>
    </w:p>
    <w:p w14:paraId="1267F8E5" w14:textId="39C41F5E" w:rsidR="006646B8" w:rsidRDefault="00DB4143" w:rsidP="002D57BF">
      <w:pPr>
        <w:pStyle w:val="ListParagraph"/>
        <w:numPr>
          <w:ilvl w:val="0"/>
          <w:numId w:val="2"/>
        </w:numPr>
      </w:pPr>
      <w:r>
        <w:lastRenderedPageBreak/>
        <w:t xml:space="preserve">Who decides if a company is within the scope of the bill? for example if we believe we are but </w:t>
      </w:r>
      <w:proofErr w:type="spellStart"/>
      <w:r>
        <w:t>Archco</w:t>
      </w:r>
      <w:proofErr w:type="spellEnd"/>
      <w:r>
        <w:t xml:space="preserve"> believes we are not</w:t>
      </w:r>
      <w:r w:rsidR="00093700">
        <w:t xml:space="preserve"> </w:t>
      </w:r>
    </w:p>
    <w:p w14:paraId="5C7AD20E" w14:textId="77777777" w:rsidR="002D57BF" w:rsidRDefault="002D57BF" w:rsidP="006646B8">
      <w:pPr>
        <w:pStyle w:val="ListParagraph"/>
        <w:rPr>
          <w:b/>
          <w:bCs/>
        </w:rPr>
      </w:pPr>
    </w:p>
    <w:p w14:paraId="61DFC5F7" w14:textId="38C79A64" w:rsidR="00DB4143" w:rsidRDefault="00093700" w:rsidP="006646B8">
      <w:pPr>
        <w:pStyle w:val="ListParagraph"/>
        <w:rPr>
          <w:b/>
          <w:bCs/>
        </w:rPr>
      </w:pPr>
      <w:r w:rsidRPr="006646B8">
        <w:rPr>
          <w:b/>
          <w:bCs/>
        </w:rPr>
        <w:t>This is a dispute, so the Arbitrator decides.</w:t>
      </w:r>
    </w:p>
    <w:p w14:paraId="57EFEF04" w14:textId="77777777" w:rsidR="006646B8" w:rsidRDefault="006646B8" w:rsidP="006646B8">
      <w:pPr>
        <w:pStyle w:val="ListParagraph"/>
      </w:pPr>
    </w:p>
    <w:p w14:paraId="42169571" w14:textId="776FE491" w:rsidR="006646B8" w:rsidRDefault="00DB4143" w:rsidP="002D57BF">
      <w:pPr>
        <w:pStyle w:val="ListParagraph"/>
        <w:numPr>
          <w:ilvl w:val="0"/>
          <w:numId w:val="2"/>
        </w:numPr>
      </w:pPr>
      <w:r>
        <w:t>(</w:t>
      </w:r>
      <w:proofErr w:type="gramStart"/>
      <w:r>
        <w:t>my</w:t>
      </w:r>
      <w:proofErr w:type="gramEnd"/>
      <w:r>
        <w:t xml:space="preserve"> company) is a garage, however we do car sales but we do not have a planning permission BUT on companies house we are listed a car sales business as well. Are we allowed as a de minimis principle? So </w:t>
      </w:r>
      <w:proofErr w:type="gramStart"/>
      <w:r>
        <w:t>therefore</w:t>
      </w:r>
      <w:proofErr w:type="gramEnd"/>
      <w:r>
        <w:t xml:space="preserve"> covered in the bill?</w:t>
      </w:r>
      <w:r w:rsidR="00093700">
        <w:t xml:space="preserve"> </w:t>
      </w:r>
    </w:p>
    <w:p w14:paraId="3B006D40" w14:textId="77777777" w:rsidR="002D57BF" w:rsidRDefault="002D57BF" w:rsidP="006646B8">
      <w:pPr>
        <w:pStyle w:val="ListParagraph"/>
        <w:rPr>
          <w:b/>
          <w:bCs/>
        </w:rPr>
      </w:pPr>
    </w:p>
    <w:p w14:paraId="369F8087" w14:textId="082CD552" w:rsidR="006646B8" w:rsidRDefault="00093700" w:rsidP="006646B8">
      <w:pPr>
        <w:pStyle w:val="ListParagraph"/>
        <w:rPr>
          <w:b/>
          <w:bCs/>
        </w:rPr>
      </w:pPr>
      <w:r w:rsidRPr="006646B8">
        <w:rPr>
          <w:b/>
          <w:bCs/>
        </w:rPr>
        <w:t>If you claim you are in scope and raise a dispute over any PRD this will be tested by the Arbitration</w:t>
      </w:r>
      <w:r w:rsidR="006646B8">
        <w:rPr>
          <w:b/>
          <w:bCs/>
        </w:rPr>
        <w:t xml:space="preserve"> process</w:t>
      </w:r>
      <w:r w:rsidRPr="006646B8">
        <w:rPr>
          <w:b/>
          <w:bCs/>
        </w:rPr>
        <w:t>, in essence all the business types listed in the Annex A of the code of practice are in scope.</w:t>
      </w:r>
    </w:p>
    <w:p w14:paraId="048A4C68" w14:textId="77777777" w:rsidR="006646B8" w:rsidRDefault="006646B8" w:rsidP="006646B8">
      <w:pPr>
        <w:pStyle w:val="ListParagraph"/>
        <w:rPr>
          <w:b/>
          <w:bCs/>
        </w:rPr>
      </w:pPr>
    </w:p>
    <w:p w14:paraId="76B64851" w14:textId="77777777" w:rsidR="006646B8" w:rsidRDefault="00DB4143" w:rsidP="002D57BF">
      <w:pPr>
        <w:pStyle w:val="ListParagraph"/>
        <w:numPr>
          <w:ilvl w:val="0"/>
          <w:numId w:val="2"/>
        </w:numPr>
      </w:pPr>
      <w:r>
        <w:t>As per the current version of the bill at the house of Lords it says:</w:t>
      </w:r>
      <w:r w:rsidR="006646B8">
        <w:t xml:space="preserve"> </w:t>
      </w:r>
      <w:r>
        <w:t>“closure requirement”, means a requirement imposed by coronavirus regulations which is expressed as an obligation—(</w:t>
      </w:r>
      <w:proofErr w:type="spellStart"/>
      <w:r>
        <w:t>i</w:t>
      </w:r>
      <w:proofErr w:type="spellEnd"/>
      <w:r>
        <w:t xml:space="preserve">) to close businesses, or parts of businesses, of a specified description, or (ii) to close premises, or parts of premises, of a specified </w:t>
      </w:r>
      <w:proofErr w:type="gramStart"/>
      <w:r>
        <w:t>description;</w:t>
      </w:r>
      <w:proofErr w:type="gramEnd"/>
    </w:p>
    <w:p w14:paraId="3E757E66" w14:textId="77777777" w:rsidR="002D57BF" w:rsidRDefault="002D57BF" w:rsidP="006646B8">
      <w:pPr>
        <w:pStyle w:val="ListParagraph"/>
        <w:rPr>
          <w:b/>
          <w:bCs/>
        </w:rPr>
      </w:pPr>
    </w:p>
    <w:p w14:paraId="01BA7B32" w14:textId="77777777" w:rsidR="002D57BF" w:rsidRDefault="00C253F6" w:rsidP="002D57BF">
      <w:pPr>
        <w:pStyle w:val="ListParagraph"/>
        <w:rPr>
          <w:b/>
          <w:bCs/>
        </w:rPr>
      </w:pPr>
      <w:r w:rsidRPr="006646B8">
        <w:rPr>
          <w:b/>
          <w:bCs/>
        </w:rPr>
        <w:t>Indeed,</w:t>
      </w:r>
      <w:r w:rsidR="00093700" w:rsidRPr="006646B8">
        <w:rPr>
          <w:b/>
          <w:bCs/>
        </w:rPr>
        <w:t xml:space="preserve"> only part of the business had to have been closed</w:t>
      </w:r>
      <w:r w:rsidR="002D57BF">
        <w:rPr>
          <w:b/>
          <w:bCs/>
        </w:rPr>
        <w:t xml:space="preserve"> to be in scope</w:t>
      </w:r>
      <w:r w:rsidR="00093700" w:rsidRPr="006646B8">
        <w:rPr>
          <w:b/>
          <w:bCs/>
        </w:rPr>
        <w:t xml:space="preserve">, if you have a mixture of </w:t>
      </w:r>
      <w:r w:rsidRPr="006646B8">
        <w:rPr>
          <w:b/>
          <w:bCs/>
        </w:rPr>
        <w:t xml:space="preserve">(say) </w:t>
      </w:r>
      <w:r w:rsidR="00093700" w:rsidRPr="006646B8">
        <w:rPr>
          <w:b/>
          <w:bCs/>
        </w:rPr>
        <w:t>retail sales and wholesale then if the retail counter closed</w:t>
      </w:r>
      <w:r w:rsidRPr="006646B8">
        <w:rPr>
          <w:b/>
          <w:bCs/>
        </w:rPr>
        <w:t xml:space="preserve"> to </w:t>
      </w:r>
      <w:proofErr w:type="gramStart"/>
      <w:r w:rsidRPr="006646B8">
        <w:rPr>
          <w:b/>
          <w:bCs/>
        </w:rPr>
        <w:t>customers</w:t>
      </w:r>
      <w:proofErr w:type="gramEnd"/>
      <w:r w:rsidR="00093700" w:rsidRPr="006646B8">
        <w:rPr>
          <w:b/>
          <w:bCs/>
        </w:rPr>
        <w:t xml:space="preserve"> you are in scope.</w:t>
      </w:r>
      <w:r w:rsidRPr="006646B8">
        <w:rPr>
          <w:b/>
          <w:bCs/>
        </w:rPr>
        <w:t xml:space="preserve"> However, if your retail business is essential</w:t>
      </w:r>
      <w:r w:rsidR="002D57BF">
        <w:rPr>
          <w:b/>
          <w:bCs/>
        </w:rPr>
        <w:t xml:space="preserve"> </w:t>
      </w:r>
      <w:proofErr w:type="spellStart"/>
      <w:r w:rsidR="002D57BF">
        <w:rPr>
          <w:b/>
          <w:bCs/>
        </w:rPr>
        <w:t>retial</w:t>
      </w:r>
      <w:proofErr w:type="spellEnd"/>
      <w:r w:rsidRPr="006646B8">
        <w:rPr>
          <w:b/>
          <w:bCs/>
        </w:rPr>
        <w:t xml:space="preserve"> and you simply opted to close this does not make you in scope. </w:t>
      </w:r>
      <w:r w:rsidRPr="006646B8">
        <w:rPr>
          <w:b/>
          <w:bCs/>
        </w:rPr>
        <w:t>In England, "essential" retailers include:</w:t>
      </w:r>
    </w:p>
    <w:p w14:paraId="3E2E82ED" w14:textId="77777777" w:rsidR="002D57BF" w:rsidRDefault="002D57BF" w:rsidP="002D57BF">
      <w:pPr>
        <w:pStyle w:val="ListParagraph"/>
        <w:rPr>
          <w:b/>
          <w:bCs/>
        </w:rPr>
      </w:pPr>
    </w:p>
    <w:p w14:paraId="1E01D1AB" w14:textId="77777777" w:rsidR="002D57BF" w:rsidRDefault="00C253F6" w:rsidP="002D57BF">
      <w:pPr>
        <w:pStyle w:val="ListParagraph"/>
        <w:rPr>
          <w:b/>
          <w:bCs/>
          <w:i/>
          <w:iCs/>
        </w:rPr>
      </w:pPr>
      <w:r w:rsidRPr="006646B8">
        <w:rPr>
          <w:b/>
          <w:bCs/>
          <w:i/>
          <w:iCs/>
        </w:rPr>
        <w:t>food shops, supermarkets, garden centres, hardware stores, building merchants and off-licences</w:t>
      </w:r>
    </w:p>
    <w:p w14:paraId="2EB59BC1" w14:textId="77777777" w:rsidR="002D57BF" w:rsidRDefault="00C253F6" w:rsidP="002D57BF">
      <w:pPr>
        <w:pStyle w:val="ListParagraph"/>
        <w:rPr>
          <w:b/>
          <w:bCs/>
          <w:i/>
          <w:iCs/>
        </w:rPr>
      </w:pPr>
      <w:r w:rsidRPr="006646B8">
        <w:rPr>
          <w:b/>
          <w:bCs/>
          <w:i/>
          <w:iCs/>
        </w:rPr>
        <w:t>petrol stations, car repair and MOT services, bicycle shops, and taxi and vehicle hire businesses</w:t>
      </w:r>
    </w:p>
    <w:p w14:paraId="35195A0A" w14:textId="77777777" w:rsidR="002D57BF" w:rsidRDefault="00C253F6" w:rsidP="002D57BF">
      <w:pPr>
        <w:pStyle w:val="ListParagraph"/>
        <w:rPr>
          <w:b/>
          <w:bCs/>
          <w:i/>
          <w:iCs/>
        </w:rPr>
      </w:pPr>
      <w:r w:rsidRPr="006646B8">
        <w:rPr>
          <w:b/>
          <w:bCs/>
          <w:i/>
          <w:iCs/>
        </w:rPr>
        <w:t>banks, building societies, post offices, loan providers and money transfer businesses</w:t>
      </w:r>
    </w:p>
    <w:p w14:paraId="681E216A" w14:textId="77777777" w:rsidR="002D57BF" w:rsidRDefault="00C253F6" w:rsidP="002D57BF">
      <w:pPr>
        <w:pStyle w:val="ListParagraph"/>
        <w:rPr>
          <w:b/>
          <w:bCs/>
          <w:i/>
          <w:iCs/>
        </w:rPr>
      </w:pPr>
      <w:r w:rsidRPr="006646B8">
        <w:rPr>
          <w:b/>
          <w:bCs/>
          <w:i/>
          <w:iCs/>
        </w:rPr>
        <w:t xml:space="preserve">medical services such as dentists, </w:t>
      </w:r>
      <w:proofErr w:type="gramStart"/>
      <w:r w:rsidRPr="006646B8">
        <w:rPr>
          <w:b/>
          <w:bCs/>
          <w:i/>
          <w:iCs/>
        </w:rPr>
        <w:t>opticians</w:t>
      </w:r>
      <w:proofErr w:type="gramEnd"/>
      <w:r w:rsidRPr="006646B8">
        <w:rPr>
          <w:b/>
          <w:bCs/>
          <w:i/>
          <w:iCs/>
        </w:rPr>
        <w:t xml:space="preserve"> and pharmacies</w:t>
      </w:r>
    </w:p>
    <w:p w14:paraId="6EAD237A" w14:textId="77777777" w:rsidR="002D57BF" w:rsidRDefault="00C253F6" w:rsidP="002D57BF">
      <w:pPr>
        <w:pStyle w:val="ListParagraph"/>
        <w:rPr>
          <w:b/>
          <w:bCs/>
          <w:i/>
          <w:iCs/>
        </w:rPr>
      </w:pPr>
      <w:r w:rsidRPr="006646B8">
        <w:rPr>
          <w:b/>
          <w:bCs/>
          <w:i/>
          <w:iCs/>
        </w:rPr>
        <w:t>vets and pet shops</w:t>
      </w:r>
    </w:p>
    <w:p w14:paraId="28A9F35D" w14:textId="77777777" w:rsidR="002D57BF" w:rsidRDefault="00C253F6" w:rsidP="002D57BF">
      <w:pPr>
        <w:pStyle w:val="ListParagraph"/>
        <w:rPr>
          <w:b/>
          <w:bCs/>
          <w:i/>
          <w:iCs/>
        </w:rPr>
      </w:pPr>
      <w:r w:rsidRPr="006646B8">
        <w:rPr>
          <w:b/>
          <w:bCs/>
          <w:i/>
          <w:iCs/>
        </w:rPr>
        <w:t>agricultural suppliers</w:t>
      </w:r>
    </w:p>
    <w:p w14:paraId="24965685" w14:textId="77777777" w:rsidR="002D57BF" w:rsidRDefault="00C253F6" w:rsidP="002D57BF">
      <w:pPr>
        <w:pStyle w:val="ListParagraph"/>
        <w:rPr>
          <w:b/>
          <w:bCs/>
          <w:i/>
          <w:iCs/>
        </w:rPr>
      </w:pPr>
      <w:r w:rsidRPr="006646B8">
        <w:rPr>
          <w:b/>
          <w:bCs/>
          <w:i/>
          <w:iCs/>
        </w:rPr>
        <w:t>funeral directors</w:t>
      </w:r>
    </w:p>
    <w:p w14:paraId="16CF3160" w14:textId="77777777" w:rsidR="002D57BF" w:rsidRDefault="00C253F6" w:rsidP="002D57BF">
      <w:pPr>
        <w:pStyle w:val="ListParagraph"/>
        <w:rPr>
          <w:b/>
          <w:bCs/>
          <w:i/>
          <w:iCs/>
        </w:rPr>
      </w:pPr>
      <w:r w:rsidRPr="006646B8">
        <w:rPr>
          <w:b/>
          <w:bCs/>
          <w:i/>
          <w:iCs/>
        </w:rPr>
        <w:t>launderettes and dry cleaners</w:t>
      </w:r>
    </w:p>
    <w:p w14:paraId="2C15AF0C" w14:textId="77777777" w:rsidR="002D57BF" w:rsidRDefault="00C253F6" w:rsidP="002D57BF">
      <w:pPr>
        <w:pStyle w:val="ListParagraph"/>
        <w:rPr>
          <w:b/>
          <w:bCs/>
          <w:i/>
          <w:iCs/>
        </w:rPr>
      </w:pPr>
      <w:r w:rsidRPr="006646B8">
        <w:rPr>
          <w:b/>
          <w:bCs/>
          <w:i/>
          <w:iCs/>
        </w:rPr>
        <w:t>storage facilities</w:t>
      </w:r>
    </w:p>
    <w:p w14:paraId="4CB3E17E" w14:textId="69DBB0AC" w:rsidR="00093700" w:rsidRPr="002D57BF" w:rsidRDefault="00C253F6" w:rsidP="002D57BF">
      <w:pPr>
        <w:pStyle w:val="ListParagraph"/>
      </w:pPr>
      <w:r w:rsidRPr="006646B8">
        <w:rPr>
          <w:b/>
          <w:bCs/>
          <w:i/>
          <w:iCs/>
        </w:rPr>
        <w:t>motorway service stations</w:t>
      </w:r>
      <w:r w:rsidRPr="006646B8">
        <w:rPr>
          <w:b/>
          <w:bCs/>
          <w:i/>
          <w:iCs/>
        </w:rPr>
        <w:t xml:space="preserve"> </w:t>
      </w:r>
    </w:p>
    <w:p w14:paraId="172CE74F" w14:textId="56E91CCD" w:rsidR="00DB4143" w:rsidRDefault="00DB4143" w:rsidP="00DB4143"/>
    <w:p w14:paraId="4802BC37" w14:textId="3D8C4FAE" w:rsidR="002D57BF" w:rsidRDefault="002D57BF" w:rsidP="00DB4143">
      <w:r>
        <w:t>ENDS</w:t>
      </w:r>
    </w:p>
    <w:sectPr w:rsidR="002D5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079E"/>
    <w:multiLevelType w:val="hybridMultilevel"/>
    <w:tmpl w:val="AA3C5B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46A53"/>
    <w:multiLevelType w:val="hybridMultilevel"/>
    <w:tmpl w:val="CC8A7F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43"/>
    <w:rsid w:val="00093700"/>
    <w:rsid w:val="00244638"/>
    <w:rsid w:val="002D57BF"/>
    <w:rsid w:val="006646B8"/>
    <w:rsid w:val="00C253F6"/>
    <w:rsid w:val="00DB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C313"/>
  <w15:chartTrackingRefBased/>
  <w15:docId w15:val="{BBFB97DB-7D10-42FB-B80B-1717A681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7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6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arb.org/disputes/pandemic-business-dispute-resolu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Wright</dc:creator>
  <cp:keywords/>
  <dc:description/>
  <cp:lastModifiedBy>Chris Wright</cp:lastModifiedBy>
  <cp:revision>1</cp:revision>
  <dcterms:created xsi:type="dcterms:W3CDTF">2022-02-22T12:08:00Z</dcterms:created>
  <dcterms:modified xsi:type="dcterms:W3CDTF">2022-02-23T09:48:00Z</dcterms:modified>
</cp:coreProperties>
</file>