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ED6" w:rsidRDefault="00E32ED6" w:rsidP="00E32ED6">
      <w:pPr>
        <w:jc w:val="center"/>
        <w:rPr>
          <w:rFonts w:asciiTheme="minorHAnsi" w:hAnsiTheme="minorHAnsi" w:cstheme="minorHAnsi"/>
          <w:b/>
          <w:bCs/>
          <w:sz w:val="32"/>
          <w:szCs w:val="32"/>
        </w:rPr>
      </w:pPr>
    </w:p>
    <w:p w:rsidR="00E32ED6" w:rsidRPr="00E32ED6" w:rsidRDefault="00E32ED6" w:rsidP="00E32ED6">
      <w:pPr>
        <w:jc w:val="center"/>
        <w:rPr>
          <w:rFonts w:asciiTheme="minorHAnsi" w:hAnsiTheme="minorHAnsi" w:cstheme="minorHAnsi"/>
          <w:b/>
          <w:bCs/>
          <w:sz w:val="32"/>
          <w:szCs w:val="32"/>
        </w:rPr>
      </w:pPr>
      <w:r w:rsidRPr="00E32ED6">
        <w:rPr>
          <w:rFonts w:asciiTheme="minorHAnsi" w:hAnsiTheme="minorHAnsi" w:cstheme="minorHAnsi"/>
          <w:b/>
          <w:bCs/>
          <w:sz w:val="32"/>
          <w:szCs w:val="32"/>
        </w:rPr>
        <w:t>Protected Rent Debt (PRD)</w:t>
      </w:r>
    </w:p>
    <w:p w:rsidR="00E32ED6" w:rsidRPr="00E32ED6" w:rsidRDefault="00E32ED6" w:rsidP="00E32ED6">
      <w:pPr>
        <w:jc w:val="center"/>
        <w:rPr>
          <w:rFonts w:asciiTheme="minorHAnsi" w:hAnsiTheme="minorHAnsi" w:cstheme="minorHAnsi"/>
          <w:sz w:val="32"/>
          <w:szCs w:val="32"/>
        </w:rPr>
      </w:pPr>
      <w:r w:rsidRPr="00E32ED6">
        <w:rPr>
          <w:rFonts w:asciiTheme="minorHAnsi" w:hAnsiTheme="minorHAnsi" w:cstheme="minorHAnsi"/>
          <w:sz w:val="32"/>
          <w:szCs w:val="32"/>
        </w:rPr>
        <w:t>Guidance Document 3</w:t>
      </w:r>
    </w:p>
    <w:p w:rsidR="00E32ED6" w:rsidRPr="00E32ED6" w:rsidRDefault="00E32ED6" w:rsidP="00E32ED6">
      <w:pPr>
        <w:jc w:val="center"/>
        <w:rPr>
          <w:rFonts w:asciiTheme="minorHAnsi" w:hAnsiTheme="minorHAnsi" w:cstheme="minorHAnsi"/>
          <w:sz w:val="32"/>
          <w:szCs w:val="32"/>
        </w:rPr>
      </w:pPr>
      <w:r w:rsidRPr="00E32ED6">
        <w:rPr>
          <w:rFonts w:asciiTheme="minorHAnsi" w:hAnsiTheme="minorHAnsi" w:cstheme="minorHAnsi"/>
          <w:sz w:val="32"/>
          <w:szCs w:val="32"/>
        </w:rPr>
        <w:t>(JAN 2022)</w:t>
      </w:r>
    </w:p>
    <w:p w:rsidR="00E32ED6" w:rsidRPr="00E32ED6" w:rsidRDefault="00E32ED6" w:rsidP="00E32ED6">
      <w:pPr>
        <w:jc w:val="center"/>
        <w:rPr>
          <w:rFonts w:asciiTheme="minorHAnsi" w:hAnsiTheme="minorHAnsi" w:cstheme="minorHAnsi"/>
          <w:sz w:val="24"/>
        </w:rPr>
      </w:pPr>
    </w:p>
    <w:p w:rsidR="00E32ED6" w:rsidRPr="00E32ED6" w:rsidRDefault="00E32ED6" w:rsidP="00E32ED6">
      <w:pPr>
        <w:rPr>
          <w:rFonts w:asciiTheme="minorHAnsi" w:hAnsiTheme="minorHAnsi" w:cstheme="minorHAnsi"/>
          <w:b/>
          <w:bCs/>
          <w:sz w:val="24"/>
        </w:rPr>
      </w:pPr>
      <w:r w:rsidRPr="00E32ED6">
        <w:rPr>
          <w:rFonts w:asciiTheme="minorHAnsi" w:hAnsiTheme="minorHAnsi" w:cstheme="minorHAnsi"/>
          <w:b/>
          <w:bCs/>
          <w:sz w:val="24"/>
        </w:rPr>
        <w:t>How will the arbitration work and what will it cost?</w:t>
      </w:r>
    </w:p>
    <w:p w:rsidR="00E32ED6" w:rsidRPr="00E32ED6" w:rsidRDefault="00E32ED6" w:rsidP="00E32ED6">
      <w:pPr>
        <w:rPr>
          <w:rFonts w:asciiTheme="minorHAnsi" w:hAnsiTheme="minorHAnsi" w:cstheme="minorHAnsi"/>
          <w:sz w:val="24"/>
        </w:rPr>
      </w:pPr>
      <w:r w:rsidRPr="00E32ED6">
        <w:rPr>
          <w:rFonts w:asciiTheme="minorHAnsi" w:hAnsiTheme="minorHAnsi" w:cstheme="minorHAnsi"/>
          <w:sz w:val="24"/>
        </w:rPr>
        <w:t>The Government is minded to limiting the costs, any such limits are expected to be variable; with a sliding scale, relative to the size of the rental arrears owed, used to determine the cap and ensure it is proportionate for each case. (See further down)</w:t>
      </w:r>
    </w:p>
    <w:p w:rsidR="00E32ED6" w:rsidRDefault="00E32ED6" w:rsidP="00E32ED6">
      <w:pPr>
        <w:rPr>
          <w:rFonts w:asciiTheme="minorHAnsi" w:hAnsiTheme="minorHAnsi" w:cstheme="minorHAnsi"/>
          <w:b/>
          <w:bCs/>
          <w:sz w:val="24"/>
        </w:rPr>
      </w:pPr>
    </w:p>
    <w:p w:rsidR="00E32ED6" w:rsidRPr="00E32ED6" w:rsidRDefault="00E32ED6" w:rsidP="00E32ED6">
      <w:pPr>
        <w:rPr>
          <w:rFonts w:asciiTheme="minorHAnsi" w:hAnsiTheme="minorHAnsi" w:cstheme="minorHAnsi"/>
          <w:b/>
          <w:bCs/>
          <w:sz w:val="24"/>
        </w:rPr>
      </w:pPr>
      <w:r w:rsidRPr="00E32ED6">
        <w:rPr>
          <w:rFonts w:asciiTheme="minorHAnsi" w:hAnsiTheme="minorHAnsi" w:cstheme="minorHAnsi"/>
          <w:b/>
          <w:bCs/>
          <w:sz w:val="24"/>
        </w:rPr>
        <w:t>Type of Arbitration</w:t>
      </w:r>
    </w:p>
    <w:p w:rsidR="00E32ED6" w:rsidRDefault="00E32ED6" w:rsidP="00E32ED6">
      <w:pPr>
        <w:rPr>
          <w:rFonts w:asciiTheme="minorHAnsi" w:hAnsiTheme="minorHAnsi" w:cstheme="minorHAnsi"/>
          <w:sz w:val="24"/>
        </w:rPr>
      </w:pPr>
      <w:r w:rsidRPr="00E32ED6">
        <w:rPr>
          <w:rFonts w:asciiTheme="minorHAnsi" w:hAnsiTheme="minorHAnsi" w:cstheme="minorHAnsi"/>
          <w:sz w:val="24"/>
        </w:rPr>
        <w:t xml:space="preserve">It is perhaps best described as a pendulum arbitration in phases or rounds (i.e., the documents are exchanged from party to party). </w:t>
      </w:r>
    </w:p>
    <w:p w:rsidR="00E32ED6" w:rsidRPr="00E32ED6" w:rsidRDefault="00E32ED6" w:rsidP="00E32ED6">
      <w:pPr>
        <w:rPr>
          <w:rFonts w:asciiTheme="minorHAnsi" w:hAnsiTheme="minorHAnsi" w:cstheme="minorHAnsi"/>
          <w:sz w:val="24"/>
        </w:rPr>
      </w:pPr>
    </w:p>
    <w:p w:rsidR="00E32ED6" w:rsidRPr="00E32ED6" w:rsidRDefault="00E32ED6" w:rsidP="00E32ED6">
      <w:pPr>
        <w:rPr>
          <w:rFonts w:asciiTheme="minorHAnsi" w:hAnsiTheme="minorHAnsi" w:cstheme="minorHAnsi"/>
          <w:sz w:val="24"/>
        </w:rPr>
      </w:pPr>
      <w:r w:rsidRPr="00E32ED6">
        <w:rPr>
          <w:rFonts w:asciiTheme="minorHAnsi" w:hAnsiTheme="minorHAnsi" w:cstheme="minorHAnsi"/>
          <w:sz w:val="24"/>
        </w:rPr>
        <w:t>It is expected that the vast majority of disputes will be conducted on a document only basis i.e. via email, however hearings can be requested but will cost more.</w:t>
      </w:r>
    </w:p>
    <w:p w:rsidR="00E32ED6" w:rsidRPr="00E32ED6" w:rsidRDefault="00E32ED6" w:rsidP="00E32ED6">
      <w:pPr>
        <w:rPr>
          <w:rFonts w:asciiTheme="minorHAnsi" w:hAnsiTheme="minorHAnsi" w:cstheme="minorHAnsi"/>
          <w:b/>
          <w:bCs/>
          <w:sz w:val="24"/>
        </w:rPr>
      </w:pPr>
    </w:p>
    <w:p w:rsidR="00E32ED6" w:rsidRDefault="00E32ED6" w:rsidP="00E32ED6">
      <w:pPr>
        <w:rPr>
          <w:rFonts w:asciiTheme="minorHAnsi" w:hAnsiTheme="minorHAnsi" w:cstheme="minorHAnsi"/>
          <w:b/>
          <w:bCs/>
          <w:sz w:val="24"/>
        </w:rPr>
      </w:pPr>
      <w:r w:rsidRPr="00E32ED6">
        <w:rPr>
          <w:rFonts w:asciiTheme="minorHAnsi" w:hAnsiTheme="minorHAnsi" w:cstheme="minorHAnsi"/>
          <w:b/>
          <w:bCs/>
          <w:sz w:val="24"/>
        </w:rPr>
        <w:t xml:space="preserve">Arbitration process </w:t>
      </w:r>
    </w:p>
    <w:p w:rsidR="00E32ED6" w:rsidRPr="00E32ED6" w:rsidRDefault="00E32ED6" w:rsidP="00E32ED6">
      <w:pPr>
        <w:rPr>
          <w:rFonts w:asciiTheme="minorHAnsi" w:hAnsiTheme="minorHAnsi" w:cstheme="minorHAnsi"/>
          <w:b/>
          <w:bCs/>
          <w:sz w:val="24"/>
        </w:rPr>
      </w:pPr>
    </w:p>
    <w:p w:rsidR="00E32ED6" w:rsidRPr="00E32ED6" w:rsidRDefault="00E32ED6" w:rsidP="00E32ED6">
      <w:pPr>
        <w:rPr>
          <w:rFonts w:asciiTheme="minorHAnsi" w:hAnsiTheme="minorHAnsi" w:cstheme="minorHAnsi"/>
          <w:b/>
          <w:bCs/>
          <w:sz w:val="24"/>
        </w:rPr>
      </w:pPr>
      <w:r w:rsidRPr="00E32ED6">
        <w:rPr>
          <w:rFonts w:asciiTheme="minorHAnsi" w:hAnsiTheme="minorHAnsi" w:cstheme="minorHAnsi"/>
          <w:b/>
          <w:bCs/>
          <w:sz w:val="24"/>
        </w:rPr>
        <w:t>Letter of notification</w:t>
      </w:r>
    </w:p>
    <w:p w:rsidR="00E32ED6" w:rsidRDefault="00E32ED6" w:rsidP="00E32ED6">
      <w:pPr>
        <w:rPr>
          <w:rFonts w:asciiTheme="minorHAnsi" w:hAnsiTheme="minorHAnsi" w:cstheme="minorHAnsi"/>
          <w:sz w:val="24"/>
        </w:rPr>
      </w:pPr>
      <w:r w:rsidRPr="00E32ED6">
        <w:rPr>
          <w:rFonts w:asciiTheme="minorHAnsi" w:hAnsiTheme="minorHAnsi" w:cstheme="minorHAnsi"/>
          <w:sz w:val="24"/>
        </w:rPr>
        <w:t>The landlord/tenant sends a letter to the other party notifying them of their intention to apply for arbitration. Attached to this is expected to be a proposal or offer (in line with the principles), with supporting information, to settle the unpaid protected rent debt.</w:t>
      </w:r>
    </w:p>
    <w:p w:rsidR="00E32ED6" w:rsidRPr="00E32ED6" w:rsidRDefault="00E32ED6" w:rsidP="00E32ED6">
      <w:pPr>
        <w:rPr>
          <w:rFonts w:asciiTheme="minorHAnsi" w:hAnsiTheme="minorHAnsi" w:cstheme="minorHAnsi"/>
          <w:sz w:val="24"/>
        </w:rPr>
      </w:pPr>
    </w:p>
    <w:p w:rsidR="00E32ED6" w:rsidRPr="00E32ED6" w:rsidRDefault="00E32ED6" w:rsidP="00E32ED6">
      <w:pPr>
        <w:rPr>
          <w:rFonts w:asciiTheme="minorHAnsi" w:hAnsiTheme="minorHAnsi" w:cstheme="minorHAnsi"/>
          <w:b/>
          <w:bCs/>
          <w:sz w:val="24"/>
        </w:rPr>
      </w:pPr>
      <w:r w:rsidRPr="00E32ED6">
        <w:rPr>
          <w:rFonts w:asciiTheme="minorHAnsi" w:hAnsiTheme="minorHAnsi" w:cstheme="minorHAnsi"/>
          <w:b/>
          <w:bCs/>
          <w:sz w:val="24"/>
        </w:rPr>
        <w:t>Pre-action negotiation I</w:t>
      </w:r>
    </w:p>
    <w:p w:rsidR="00E32ED6" w:rsidRDefault="00E32ED6" w:rsidP="00E32ED6">
      <w:pPr>
        <w:rPr>
          <w:rFonts w:asciiTheme="minorHAnsi" w:hAnsiTheme="minorHAnsi" w:cstheme="minorHAnsi"/>
          <w:sz w:val="24"/>
        </w:rPr>
      </w:pPr>
      <w:r w:rsidRPr="00E32ED6">
        <w:rPr>
          <w:rFonts w:asciiTheme="minorHAnsi" w:hAnsiTheme="minorHAnsi" w:cstheme="minorHAnsi"/>
          <w:sz w:val="24"/>
        </w:rPr>
        <w:t>The respondent has 14 days to respond to the letter from the other party. This response can include a counteroffer and any supporting evidence on affordability of the counteroffer that they want to include. Written statements can be provided.</w:t>
      </w:r>
    </w:p>
    <w:p w:rsidR="00E32ED6" w:rsidRPr="00E32ED6" w:rsidRDefault="00E32ED6" w:rsidP="00E32ED6">
      <w:pPr>
        <w:rPr>
          <w:rFonts w:asciiTheme="minorHAnsi" w:hAnsiTheme="minorHAnsi" w:cstheme="minorHAnsi"/>
          <w:sz w:val="24"/>
        </w:rPr>
      </w:pPr>
    </w:p>
    <w:p w:rsidR="00E32ED6" w:rsidRPr="00E32ED6" w:rsidRDefault="00E32ED6" w:rsidP="00E32ED6">
      <w:pPr>
        <w:rPr>
          <w:rFonts w:asciiTheme="minorHAnsi" w:hAnsiTheme="minorHAnsi" w:cstheme="minorHAnsi"/>
          <w:b/>
          <w:bCs/>
          <w:sz w:val="24"/>
        </w:rPr>
      </w:pPr>
      <w:r w:rsidRPr="00E32ED6">
        <w:rPr>
          <w:rFonts w:asciiTheme="minorHAnsi" w:hAnsiTheme="minorHAnsi" w:cstheme="minorHAnsi"/>
          <w:b/>
          <w:bCs/>
          <w:sz w:val="24"/>
        </w:rPr>
        <w:t>Pre-action negotiation II</w:t>
      </w:r>
    </w:p>
    <w:p w:rsidR="00E32ED6" w:rsidRDefault="00E32ED6" w:rsidP="00E32ED6">
      <w:pPr>
        <w:rPr>
          <w:rFonts w:asciiTheme="minorHAnsi" w:hAnsiTheme="minorHAnsi" w:cstheme="minorHAnsi"/>
          <w:sz w:val="24"/>
        </w:rPr>
      </w:pPr>
      <w:r w:rsidRPr="00E32ED6">
        <w:rPr>
          <w:rFonts w:asciiTheme="minorHAnsi" w:hAnsiTheme="minorHAnsi" w:cstheme="minorHAnsi"/>
          <w:sz w:val="24"/>
        </w:rPr>
        <w:t>The initiator has 14 days to consider any response and reply to it. After expiry of those 14 days, or 28 days if no response is received, either party can proceed to apply for arbitration.</w:t>
      </w:r>
    </w:p>
    <w:p w:rsidR="00E32ED6" w:rsidRPr="00E32ED6" w:rsidRDefault="00E32ED6" w:rsidP="00E32ED6">
      <w:pPr>
        <w:rPr>
          <w:rFonts w:asciiTheme="minorHAnsi" w:hAnsiTheme="minorHAnsi" w:cstheme="minorHAnsi"/>
          <w:sz w:val="24"/>
        </w:rPr>
      </w:pPr>
    </w:p>
    <w:p w:rsidR="00E32ED6" w:rsidRPr="00E32ED6" w:rsidRDefault="00E32ED6" w:rsidP="00E32ED6">
      <w:pPr>
        <w:rPr>
          <w:rFonts w:asciiTheme="minorHAnsi" w:hAnsiTheme="minorHAnsi" w:cstheme="minorHAnsi"/>
          <w:b/>
          <w:bCs/>
          <w:sz w:val="24"/>
        </w:rPr>
      </w:pPr>
      <w:r w:rsidRPr="00E32ED6">
        <w:rPr>
          <w:rFonts w:asciiTheme="minorHAnsi" w:hAnsiTheme="minorHAnsi" w:cstheme="minorHAnsi"/>
          <w:b/>
          <w:bCs/>
          <w:sz w:val="24"/>
        </w:rPr>
        <w:t>Request for arbitration</w:t>
      </w:r>
    </w:p>
    <w:p w:rsidR="00E32ED6" w:rsidRDefault="00E32ED6" w:rsidP="00E32ED6">
      <w:pPr>
        <w:rPr>
          <w:rFonts w:asciiTheme="minorHAnsi" w:hAnsiTheme="minorHAnsi" w:cstheme="minorHAnsi"/>
          <w:sz w:val="24"/>
        </w:rPr>
      </w:pPr>
      <w:r w:rsidRPr="00E32ED6">
        <w:rPr>
          <w:rFonts w:asciiTheme="minorHAnsi" w:hAnsiTheme="minorHAnsi" w:cstheme="minorHAnsi"/>
          <w:sz w:val="24"/>
        </w:rPr>
        <w:t>Either Party can apply for arbitration. The application must show that the pre-application notification requirements have been met (an application will not be accepted without this). An application must include a formal proposal, with supporting evidence, for resolving the unpaid protected rent debt.</w:t>
      </w:r>
    </w:p>
    <w:p w:rsidR="00E32ED6" w:rsidRDefault="00E32ED6" w:rsidP="00E32ED6">
      <w:pPr>
        <w:rPr>
          <w:rFonts w:asciiTheme="minorHAnsi" w:hAnsiTheme="minorHAnsi" w:cstheme="minorHAnsi"/>
          <w:sz w:val="24"/>
        </w:rPr>
      </w:pPr>
    </w:p>
    <w:p w:rsidR="00E32ED6" w:rsidRDefault="00E32ED6" w:rsidP="00E32ED6">
      <w:pPr>
        <w:rPr>
          <w:rFonts w:asciiTheme="minorHAnsi" w:hAnsiTheme="minorHAnsi" w:cstheme="minorHAnsi"/>
          <w:sz w:val="24"/>
        </w:rPr>
      </w:pPr>
    </w:p>
    <w:p w:rsidR="00E32ED6" w:rsidRPr="00E32ED6" w:rsidRDefault="00E32ED6" w:rsidP="00E32ED6">
      <w:pPr>
        <w:rPr>
          <w:rFonts w:asciiTheme="minorHAnsi" w:hAnsiTheme="minorHAnsi" w:cstheme="minorHAnsi"/>
          <w:sz w:val="24"/>
        </w:rPr>
      </w:pPr>
    </w:p>
    <w:p w:rsidR="00E32ED6" w:rsidRPr="00E32ED6" w:rsidRDefault="00E32ED6" w:rsidP="00E32ED6">
      <w:pPr>
        <w:rPr>
          <w:rFonts w:asciiTheme="minorHAnsi" w:hAnsiTheme="minorHAnsi" w:cstheme="minorHAnsi"/>
          <w:b/>
          <w:bCs/>
          <w:sz w:val="24"/>
        </w:rPr>
      </w:pPr>
      <w:r w:rsidRPr="00E32ED6">
        <w:rPr>
          <w:rFonts w:asciiTheme="minorHAnsi" w:hAnsiTheme="minorHAnsi" w:cstheme="minorHAnsi"/>
          <w:b/>
          <w:bCs/>
          <w:sz w:val="24"/>
        </w:rPr>
        <w:lastRenderedPageBreak/>
        <w:t>Acceptance of application</w:t>
      </w:r>
    </w:p>
    <w:p w:rsidR="00E32ED6" w:rsidRPr="00E32ED6" w:rsidRDefault="00E32ED6" w:rsidP="00E32ED6">
      <w:pPr>
        <w:rPr>
          <w:rFonts w:asciiTheme="minorHAnsi" w:hAnsiTheme="minorHAnsi" w:cstheme="minorHAnsi"/>
          <w:sz w:val="24"/>
        </w:rPr>
      </w:pPr>
      <w:r w:rsidRPr="00E32ED6">
        <w:rPr>
          <w:rFonts w:asciiTheme="minorHAnsi" w:hAnsiTheme="minorHAnsi" w:cstheme="minorHAnsi"/>
          <w:sz w:val="24"/>
        </w:rPr>
        <w:t>Arbitrator will check that the case is eligible (i.e. for business within scope, debts within the ring fence) and will accept if they have the capacity to conduct the process within the times specified, otherwise waitlisted or can seek another arbitrator.</w:t>
      </w:r>
    </w:p>
    <w:p w:rsidR="00E32ED6" w:rsidRDefault="00E32ED6" w:rsidP="00E32ED6">
      <w:pPr>
        <w:rPr>
          <w:rFonts w:asciiTheme="minorHAnsi" w:hAnsiTheme="minorHAnsi" w:cstheme="minorHAnsi"/>
          <w:b/>
          <w:bCs/>
          <w:sz w:val="24"/>
        </w:rPr>
      </w:pPr>
    </w:p>
    <w:p w:rsidR="00E32ED6" w:rsidRPr="00E32ED6" w:rsidRDefault="00E32ED6" w:rsidP="00E32ED6">
      <w:pPr>
        <w:rPr>
          <w:rFonts w:asciiTheme="minorHAnsi" w:hAnsiTheme="minorHAnsi" w:cstheme="minorHAnsi"/>
          <w:b/>
          <w:bCs/>
          <w:sz w:val="24"/>
        </w:rPr>
      </w:pPr>
      <w:r w:rsidRPr="00E32ED6">
        <w:rPr>
          <w:rFonts w:asciiTheme="minorHAnsi" w:hAnsiTheme="minorHAnsi" w:cstheme="minorHAnsi"/>
          <w:b/>
          <w:bCs/>
          <w:sz w:val="24"/>
        </w:rPr>
        <w:t>Final offers</w:t>
      </w:r>
    </w:p>
    <w:p w:rsidR="00E32ED6" w:rsidRPr="00E32ED6" w:rsidRDefault="00E32ED6" w:rsidP="00E32ED6">
      <w:pPr>
        <w:rPr>
          <w:rFonts w:asciiTheme="minorHAnsi" w:hAnsiTheme="minorHAnsi" w:cstheme="minorHAnsi"/>
          <w:sz w:val="24"/>
        </w:rPr>
      </w:pPr>
      <w:r w:rsidRPr="00E32ED6">
        <w:rPr>
          <w:rFonts w:asciiTheme="minorHAnsi" w:hAnsiTheme="minorHAnsi" w:cstheme="minorHAnsi"/>
          <w:sz w:val="24"/>
        </w:rPr>
        <w:t>The other party has 14 days from receipt of the applicant’s proposal to submit their own proposal. After that, each party has a final opportunity to submit best/final proposals after seeing initial proposals. The arbitrator will have the power to request further information from either party. Written statements can be provided.</w:t>
      </w:r>
    </w:p>
    <w:p w:rsidR="00E32ED6" w:rsidRDefault="00E32ED6" w:rsidP="00E32ED6">
      <w:pPr>
        <w:rPr>
          <w:rFonts w:asciiTheme="minorHAnsi" w:hAnsiTheme="minorHAnsi" w:cstheme="minorHAnsi"/>
          <w:b/>
          <w:bCs/>
          <w:sz w:val="24"/>
        </w:rPr>
      </w:pPr>
    </w:p>
    <w:p w:rsidR="00E32ED6" w:rsidRPr="00E32ED6" w:rsidRDefault="00E32ED6" w:rsidP="00E32ED6">
      <w:pPr>
        <w:rPr>
          <w:rFonts w:asciiTheme="minorHAnsi" w:hAnsiTheme="minorHAnsi" w:cstheme="minorHAnsi"/>
          <w:b/>
          <w:bCs/>
          <w:sz w:val="24"/>
        </w:rPr>
      </w:pPr>
      <w:r w:rsidRPr="00E32ED6">
        <w:rPr>
          <w:rFonts w:asciiTheme="minorHAnsi" w:hAnsiTheme="minorHAnsi" w:cstheme="minorHAnsi"/>
          <w:b/>
          <w:bCs/>
          <w:sz w:val="24"/>
        </w:rPr>
        <w:t>Method of resolution</w:t>
      </w:r>
    </w:p>
    <w:p w:rsidR="00E32ED6" w:rsidRPr="00E32ED6" w:rsidRDefault="00E32ED6" w:rsidP="00E32ED6">
      <w:pPr>
        <w:rPr>
          <w:rFonts w:asciiTheme="minorHAnsi" w:hAnsiTheme="minorHAnsi" w:cstheme="minorHAnsi"/>
          <w:sz w:val="24"/>
        </w:rPr>
      </w:pPr>
      <w:r w:rsidRPr="00E32ED6">
        <w:rPr>
          <w:rFonts w:asciiTheme="minorHAnsi" w:hAnsiTheme="minorHAnsi" w:cstheme="minorHAnsi"/>
          <w:sz w:val="24"/>
        </w:rPr>
        <w:t>At this stage the parties can agree to either a public hearing (or private if chosen) or for the arbitrator to simply reach their decision based on the information provided (i.e. on the papers).</w:t>
      </w:r>
    </w:p>
    <w:p w:rsidR="00E32ED6" w:rsidRDefault="00E32ED6" w:rsidP="00E32ED6">
      <w:pPr>
        <w:rPr>
          <w:rFonts w:asciiTheme="minorHAnsi" w:hAnsiTheme="minorHAnsi" w:cstheme="minorHAnsi"/>
          <w:b/>
          <w:bCs/>
          <w:sz w:val="24"/>
        </w:rPr>
      </w:pPr>
    </w:p>
    <w:p w:rsidR="00E32ED6" w:rsidRPr="00E32ED6" w:rsidRDefault="00E32ED6" w:rsidP="00E32ED6">
      <w:pPr>
        <w:rPr>
          <w:rFonts w:asciiTheme="minorHAnsi" w:hAnsiTheme="minorHAnsi" w:cstheme="minorHAnsi"/>
          <w:b/>
          <w:bCs/>
          <w:sz w:val="24"/>
        </w:rPr>
      </w:pPr>
      <w:r w:rsidRPr="00E32ED6">
        <w:rPr>
          <w:rFonts w:asciiTheme="minorHAnsi" w:hAnsiTheme="minorHAnsi" w:cstheme="minorHAnsi"/>
          <w:b/>
          <w:bCs/>
          <w:sz w:val="24"/>
        </w:rPr>
        <w:t>Hearing</w:t>
      </w:r>
    </w:p>
    <w:p w:rsidR="00E32ED6" w:rsidRPr="00E32ED6" w:rsidRDefault="00E32ED6" w:rsidP="00E32ED6">
      <w:pPr>
        <w:rPr>
          <w:rFonts w:asciiTheme="minorHAnsi" w:hAnsiTheme="minorHAnsi" w:cstheme="minorHAnsi"/>
          <w:sz w:val="24"/>
        </w:rPr>
      </w:pPr>
      <w:r w:rsidRPr="00E32ED6">
        <w:rPr>
          <w:rFonts w:asciiTheme="minorHAnsi" w:hAnsiTheme="minorHAnsi" w:cstheme="minorHAnsi"/>
          <w:sz w:val="24"/>
        </w:rPr>
        <w:t>A hearing is to be held no later than 14 days after a request for a hearing is made. There is expected to be no more than one session lasting no longer than six hours (excluding breaks), during which the parties can state their case. This should be inquisitorial not adversarial.</w:t>
      </w:r>
    </w:p>
    <w:p w:rsidR="00E32ED6" w:rsidRDefault="00E32ED6" w:rsidP="00E32ED6">
      <w:pPr>
        <w:rPr>
          <w:rFonts w:asciiTheme="minorHAnsi" w:hAnsiTheme="minorHAnsi" w:cstheme="minorHAnsi"/>
          <w:b/>
          <w:bCs/>
          <w:sz w:val="24"/>
        </w:rPr>
      </w:pPr>
    </w:p>
    <w:p w:rsidR="00E32ED6" w:rsidRPr="00E32ED6" w:rsidRDefault="00E32ED6" w:rsidP="00E32ED6">
      <w:pPr>
        <w:rPr>
          <w:rFonts w:asciiTheme="minorHAnsi" w:hAnsiTheme="minorHAnsi" w:cstheme="minorHAnsi"/>
          <w:b/>
          <w:bCs/>
          <w:sz w:val="24"/>
        </w:rPr>
      </w:pPr>
      <w:r w:rsidRPr="00E32ED6">
        <w:rPr>
          <w:rFonts w:asciiTheme="minorHAnsi" w:hAnsiTheme="minorHAnsi" w:cstheme="minorHAnsi"/>
          <w:b/>
          <w:bCs/>
          <w:sz w:val="24"/>
        </w:rPr>
        <w:t>Decision</w:t>
      </w:r>
    </w:p>
    <w:p w:rsidR="00E32ED6" w:rsidRPr="00E32ED6" w:rsidRDefault="00E32ED6" w:rsidP="00E32ED6">
      <w:pPr>
        <w:rPr>
          <w:rFonts w:asciiTheme="minorHAnsi" w:hAnsiTheme="minorHAnsi" w:cstheme="minorHAnsi"/>
          <w:sz w:val="24"/>
        </w:rPr>
      </w:pPr>
      <w:r w:rsidRPr="00E32ED6">
        <w:rPr>
          <w:rFonts w:asciiTheme="minorHAnsi" w:hAnsiTheme="minorHAnsi" w:cstheme="minorHAnsi"/>
          <w:sz w:val="24"/>
        </w:rPr>
        <w:t>The arbitrator has up to 14 days from a hearing, or as soon as reasonably practicable if no hearing, to consider the evidence and come to a statutory and legally binding decision. The arbitrator’s award must be published (with any confidential information taken out).</w:t>
      </w:r>
      <w:r w:rsidRPr="00E32ED6">
        <w:rPr>
          <w:rFonts w:asciiTheme="minorHAnsi" w:hAnsiTheme="minorHAnsi" w:cstheme="minorHAnsi"/>
          <w:sz w:val="24"/>
        </w:rPr>
        <w:cr/>
      </w:r>
    </w:p>
    <w:p w:rsidR="00E32ED6" w:rsidRPr="00E32ED6" w:rsidRDefault="00E32ED6" w:rsidP="00E32ED6">
      <w:pPr>
        <w:spacing w:line="257" w:lineRule="auto"/>
        <w:rPr>
          <w:rFonts w:asciiTheme="minorHAnsi" w:hAnsiTheme="minorHAnsi" w:cstheme="minorHAnsi"/>
          <w:sz w:val="24"/>
        </w:rPr>
      </w:pPr>
      <w:r w:rsidRPr="00E32ED6">
        <w:rPr>
          <w:rFonts w:asciiTheme="minorHAnsi" w:eastAsia="Calibri" w:hAnsiTheme="minorHAnsi" w:cstheme="minorHAnsi"/>
          <w:b/>
          <w:bCs/>
          <w:sz w:val="24"/>
        </w:rPr>
        <w:t>Types of awards you can expect</w:t>
      </w:r>
    </w:p>
    <w:p w:rsidR="00E32ED6" w:rsidRPr="00E32ED6" w:rsidRDefault="00E32ED6" w:rsidP="00E32ED6">
      <w:pPr>
        <w:spacing w:line="257" w:lineRule="auto"/>
        <w:rPr>
          <w:rFonts w:asciiTheme="minorHAnsi" w:hAnsiTheme="minorHAnsi" w:cstheme="minorHAnsi"/>
          <w:sz w:val="24"/>
        </w:rPr>
      </w:pPr>
      <w:r w:rsidRPr="00E32ED6">
        <w:rPr>
          <w:rFonts w:asciiTheme="minorHAnsi" w:eastAsia="Calibri" w:hAnsiTheme="minorHAnsi" w:cstheme="minorHAnsi"/>
          <w:sz w:val="24"/>
        </w:rPr>
        <w:t>Rent can be a 100% write off – to 0%</w:t>
      </w:r>
    </w:p>
    <w:p w:rsidR="00E32ED6" w:rsidRPr="00E32ED6" w:rsidRDefault="00E32ED6" w:rsidP="00E32ED6">
      <w:pPr>
        <w:spacing w:line="257" w:lineRule="auto"/>
        <w:rPr>
          <w:rFonts w:asciiTheme="minorHAnsi" w:hAnsiTheme="minorHAnsi" w:cstheme="minorHAnsi"/>
          <w:sz w:val="24"/>
        </w:rPr>
      </w:pPr>
      <w:r w:rsidRPr="00E32ED6">
        <w:rPr>
          <w:rFonts w:asciiTheme="minorHAnsi" w:eastAsia="Calibri" w:hAnsiTheme="minorHAnsi" w:cstheme="minorHAnsi"/>
          <w:sz w:val="24"/>
        </w:rPr>
        <w:t>With or without repayment arrangement for any balance spread out over 24 months</w:t>
      </w:r>
    </w:p>
    <w:p w:rsidR="00E32ED6" w:rsidRPr="00E32ED6" w:rsidRDefault="00E32ED6" w:rsidP="00E32ED6">
      <w:pPr>
        <w:rPr>
          <w:rFonts w:asciiTheme="minorHAnsi" w:hAnsiTheme="minorHAnsi" w:cstheme="minorHAnsi"/>
          <w:sz w:val="24"/>
        </w:rPr>
      </w:pPr>
    </w:p>
    <w:p w:rsidR="00E32ED6" w:rsidRPr="00E32ED6" w:rsidRDefault="00E32ED6" w:rsidP="00E32ED6">
      <w:pPr>
        <w:rPr>
          <w:rFonts w:asciiTheme="minorHAnsi" w:hAnsiTheme="minorHAnsi" w:cstheme="minorHAnsi"/>
          <w:b/>
          <w:bCs/>
          <w:sz w:val="24"/>
        </w:rPr>
      </w:pPr>
      <w:r w:rsidRPr="00E32ED6">
        <w:rPr>
          <w:rFonts w:asciiTheme="minorHAnsi" w:hAnsiTheme="minorHAnsi" w:cstheme="minorHAnsi"/>
          <w:b/>
          <w:bCs/>
          <w:sz w:val="24"/>
        </w:rPr>
        <w:t>Arbitrators’ fees</w:t>
      </w:r>
    </w:p>
    <w:p w:rsidR="00E32ED6" w:rsidRDefault="00E32ED6" w:rsidP="00E32ED6">
      <w:pPr>
        <w:rPr>
          <w:rFonts w:asciiTheme="minorHAnsi" w:hAnsiTheme="minorHAnsi" w:cstheme="minorHAnsi"/>
          <w:sz w:val="24"/>
        </w:rPr>
      </w:pPr>
      <w:r w:rsidRPr="00E32ED6">
        <w:rPr>
          <w:rFonts w:asciiTheme="minorHAnsi" w:hAnsiTheme="minorHAnsi" w:cstheme="minorHAnsi"/>
          <w:sz w:val="24"/>
        </w:rPr>
        <w:t>The party applying to make a reference to Arbitration must pay the entire fee upfront, however the act directs the Arbitrator to create an order requiring the other party to reimburse the applicant in their award.</w:t>
      </w:r>
    </w:p>
    <w:p w:rsidR="00E32ED6" w:rsidRPr="00E32ED6" w:rsidRDefault="00E32ED6" w:rsidP="00E32ED6">
      <w:pPr>
        <w:rPr>
          <w:rFonts w:asciiTheme="minorHAnsi" w:hAnsiTheme="minorHAnsi" w:cstheme="minorHAnsi"/>
          <w:sz w:val="24"/>
        </w:rPr>
      </w:pPr>
    </w:p>
    <w:p w:rsidR="00E32ED6" w:rsidRDefault="00E32ED6" w:rsidP="00E32ED6">
      <w:pPr>
        <w:rPr>
          <w:rFonts w:asciiTheme="minorHAnsi" w:hAnsiTheme="minorHAnsi" w:cstheme="minorHAnsi"/>
          <w:sz w:val="24"/>
        </w:rPr>
      </w:pPr>
      <w:r w:rsidRPr="00E32ED6">
        <w:rPr>
          <w:rFonts w:asciiTheme="minorHAnsi" w:hAnsiTheme="minorHAnsi" w:cstheme="minorHAnsi"/>
          <w:sz w:val="24"/>
        </w:rPr>
        <w:t>Therefore, the fee for arbitration is fully intended to be split between the parties 50:50 the arbitrator has the power to direct a different split, or proportion of the fee to be paid if they deem it appropriate.</w:t>
      </w:r>
    </w:p>
    <w:p w:rsidR="00E32ED6" w:rsidRPr="00E32ED6" w:rsidRDefault="00E32ED6" w:rsidP="00E32ED6">
      <w:pPr>
        <w:rPr>
          <w:rFonts w:asciiTheme="minorHAnsi" w:hAnsiTheme="minorHAnsi" w:cstheme="minorHAnsi"/>
          <w:sz w:val="24"/>
        </w:rPr>
      </w:pPr>
    </w:p>
    <w:p w:rsidR="00E32ED6" w:rsidRPr="00E32ED6" w:rsidRDefault="00E32ED6" w:rsidP="00E32ED6">
      <w:pPr>
        <w:rPr>
          <w:rFonts w:asciiTheme="minorHAnsi" w:hAnsiTheme="minorHAnsi" w:cstheme="minorHAnsi"/>
          <w:sz w:val="24"/>
        </w:rPr>
      </w:pPr>
      <w:r w:rsidRPr="00E32ED6">
        <w:rPr>
          <w:rFonts w:asciiTheme="minorHAnsi" w:hAnsiTheme="minorHAnsi" w:cstheme="minorHAnsi"/>
          <w:sz w:val="24"/>
        </w:rPr>
        <w:t>The cost for any hearings is shared equally between the parties upfront (i.e., when applying for one).</w:t>
      </w:r>
    </w:p>
    <w:p w:rsidR="00E32ED6" w:rsidRDefault="00E32ED6" w:rsidP="00E32ED6">
      <w:pPr>
        <w:rPr>
          <w:rFonts w:asciiTheme="minorHAnsi" w:hAnsiTheme="minorHAnsi" w:cstheme="minorHAnsi"/>
          <w:sz w:val="24"/>
        </w:rPr>
      </w:pPr>
    </w:p>
    <w:p w:rsidR="00E32ED6" w:rsidRDefault="00E32ED6" w:rsidP="00E32ED6">
      <w:pPr>
        <w:rPr>
          <w:rFonts w:asciiTheme="minorHAnsi" w:hAnsiTheme="minorHAnsi" w:cstheme="minorHAnsi"/>
          <w:sz w:val="24"/>
        </w:rPr>
      </w:pPr>
    </w:p>
    <w:p w:rsidR="00E32ED6" w:rsidRDefault="00E32ED6" w:rsidP="00E32ED6">
      <w:pPr>
        <w:rPr>
          <w:rFonts w:asciiTheme="minorHAnsi" w:hAnsiTheme="minorHAnsi" w:cstheme="minorHAnsi"/>
          <w:sz w:val="24"/>
        </w:rPr>
      </w:pPr>
    </w:p>
    <w:p w:rsidR="00E32ED6" w:rsidRPr="00E32ED6" w:rsidRDefault="00E32ED6" w:rsidP="00E32ED6">
      <w:pPr>
        <w:rPr>
          <w:rFonts w:asciiTheme="minorHAnsi" w:hAnsiTheme="minorHAnsi" w:cstheme="minorHAnsi"/>
          <w:sz w:val="24"/>
        </w:rPr>
      </w:pPr>
    </w:p>
    <w:p w:rsidR="00E32ED6" w:rsidRPr="00E32ED6" w:rsidRDefault="00E32ED6" w:rsidP="00E32ED6">
      <w:pPr>
        <w:rPr>
          <w:rFonts w:asciiTheme="minorHAnsi" w:hAnsiTheme="minorHAnsi" w:cstheme="minorHAnsi"/>
          <w:b/>
          <w:bCs/>
          <w:sz w:val="24"/>
        </w:rPr>
      </w:pPr>
      <w:r w:rsidRPr="00E32ED6">
        <w:rPr>
          <w:rFonts w:asciiTheme="minorHAnsi" w:hAnsiTheme="minorHAnsi" w:cstheme="minorHAnsi"/>
          <w:b/>
          <w:bCs/>
          <w:sz w:val="24"/>
        </w:rPr>
        <w:lastRenderedPageBreak/>
        <w:t>Costs -Can I claim costs from the other side?</w:t>
      </w:r>
    </w:p>
    <w:p w:rsidR="00E32ED6" w:rsidRPr="00E32ED6" w:rsidRDefault="00E32ED6" w:rsidP="00E32ED6">
      <w:pPr>
        <w:rPr>
          <w:rFonts w:asciiTheme="minorHAnsi" w:hAnsiTheme="minorHAnsi" w:cstheme="minorHAnsi"/>
          <w:sz w:val="24"/>
        </w:rPr>
      </w:pPr>
      <w:r w:rsidRPr="00E32ED6">
        <w:rPr>
          <w:rFonts w:asciiTheme="minorHAnsi" w:hAnsiTheme="minorHAnsi" w:cstheme="minorHAnsi"/>
          <w:sz w:val="24"/>
        </w:rPr>
        <w:t xml:space="preserve">The cost of the arbitration is not recoverable should you “win” your claim, in the same way the other side cannot claim any costs from you should they “win”. The act states that the parties must meet their </w:t>
      </w:r>
      <w:r w:rsidRPr="00E32ED6">
        <w:rPr>
          <w:rFonts w:asciiTheme="minorHAnsi" w:hAnsiTheme="minorHAnsi" w:cstheme="minorHAnsi"/>
          <w:sz w:val="24"/>
          <w:u w:val="single"/>
        </w:rPr>
        <w:t>own</w:t>
      </w:r>
      <w:r w:rsidRPr="00E32ED6">
        <w:rPr>
          <w:rFonts w:asciiTheme="minorHAnsi" w:hAnsiTheme="minorHAnsi" w:cstheme="minorHAnsi"/>
          <w:sz w:val="24"/>
        </w:rPr>
        <w:t xml:space="preserve"> legal and other costs; this stops parties from using legal costs as a threat.</w:t>
      </w:r>
    </w:p>
    <w:p w:rsidR="00E32ED6" w:rsidRDefault="00E32ED6" w:rsidP="00E32ED6">
      <w:pPr>
        <w:rPr>
          <w:rFonts w:asciiTheme="minorHAnsi" w:hAnsiTheme="minorHAnsi" w:cstheme="minorHAnsi"/>
          <w:sz w:val="24"/>
        </w:rPr>
      </w:pPr>
      <w:r w:rsidRPr="00E32ED6">
        <w:rPr>
          <w:rFonts w:asciiTheme="minorHAnsi" w:hAnsiTheme="minorHAnsi" w:cstheme="minorHAnsi"/>
          <w:sz w:val="24"/>
        </w:rPr>
        <w:t>Given that there is no award on costs, if you lose you are not at risk of paying the costs for the other side as can happen in other forms of arbitration.</w:t>
      </w:r>
    </w:p>
    <w:p w:rsidR="00E32ED6" w:rsidRPr="00E32ED6" w:rsidRDefault="00E32ED6" w:rsidP="00E32ED6">
      <w:pPr>
        <w:rPr>
          <w:rFonts w:asciiTheme="minorHAnsi" w:hAnsiTheme="minorHAnsi" w:cstheme="minorHAnsi"/>
          <w:sz w:val="24"/>
        </w:rPr>
      </w:pPr>
    </w:p>
    <w:p w:rsidR="00E32ED6" w:rsidRDefault="00E32ED6" w:rsidP="00E32ED6">
      <w:pPr>
        <w:rPr>
          <w:rFonts w:asciiTheme="minorHAnsi" w:hAnsiTheme="minorHAnsi" w:cstheme="minorHAnsi"/>
          <w:sz w:val="24"/>
        </w:rPr>
      </w:pPr>
      <w:r w:rsidRPr="00E32ED6">
        <w:rPr>
          <w:rFonts w:asciiTheme="minorHAnsi" w:hAnsiTheme="minorHAnsi" w:cstheme="minorHAnsi"/>
          <w:sz w:val="24"/>
        </w:rPr>
        <w:t>You can however claim all the costs from your year-end accounts in the normal way (i.e., the fee, any representation for the Arbitration).</w:t>
      </w:r>
    </w:p>
    <w:p w:rsidR="00E32ED6" w:rsidRPr="00E32ED6" w:rsidRDefault="00E32ED6" w:rsidP="00E32ED6">
      <w:pPr>
        <w:rPr>
          <w:rFonts w:asciiTheme="minorHAnsi" w:hAnsiTheme="minorHAnsi" w:cstheme="minorHAnsi"/>
          <w:sz w:val="24"/>
        </w:rPr>
      </w:pPr>
    </w:p>
    <w:p w:rsidR="00E32ED6" w:rsidRPr="00E32ED6" w:rsidRDefault="00E32ED6" w:rsidP="00E32ED6">
      <w:pPr>
        <w:rPr>
          <w:rFonts w:asciiTheme="minorHAnsi" w:hAnsiTheme="minorHAnsi" w:cstheme="minorHAnsi"/>
          <w:sz w:val="24"/>
        </w:rPr>
      </w:pPr>
      <w:r w:rsidRPr="00E32ED6">
        <w:rPr>
          <w:rFonts w:asciiTheme="minorHAnsi" w:hAnsiTheme="minorHAnsi" w:cstheme="minorHAnsi"/>
          <w:sz w:val="24"/>
        </w:rPr>
        <w:t>There is an award on the fee that was paid upfront and applies to the arbitration you undertake (see above).</w:t>
      </w:r>
    </w:p>
    <w:p w:rsidR="00E32ED6" w:rsidRPr="00E32ED6" w:rsidRDefault="00E32ED6" w:rsidP="00E32ED6">
      <w:pPr>
        <w:rPr>
          <w:rFonts w:asciiTheme="minorHAnsi" w:hAnsiTheme="minorHAnsi" w:cstheme="minorHAnsi"/>
          <w:b/>
          <w:bCs/>
          <w:sz w:val="24"/>
        </w:rPr>
      </w:pPr>
    </w:p>
    <w:p w:rsidR="00E32ED6" w:rsidRPr="00E32ED6" w:rsidRDefault="00E32ED6" w:rsidP="00E32ED6">
      <w:pPr>
        <w:rPr>
          <w:rFonts w:asciiTheme="minorHAnsi" w:hAnsiTheme="minorHAnsi" w:cstheme="minorHAnsi"/>
          <w:b/>
          <w:bCs/>
          <w:sz w:val="24"/>
        </w:rPr>
      </w:pPr>
      <w:r w:rsidRPr="00E32ED6">
        <w:rPr>
          <w:rFonts w:asciiTheme="minorHAnsi" w:hAnsiTheme="minorHAnsi" w:cstheme="minorHAnsi"/>
          <w:b/>
          <w:bCs/>
          <w:sz w:val="24"/>
        </w:rPr>
        <w:t>What other options exist to this legislation?</w:t>
      </w:r>
    </w:p>
    <w:p w:rsidR="00E32ED6" w:rsidRPr="00E32ED6" w:rsidRDefault="00E32ED6" w:rsidP="00E32ED6">
      <w:pPr>
        <w:rPr>
          <w:rFonts w:asciiTheme="minorHAnsi" w:hAnsiTheme="minorHAnsi" w:cstheme="minorHAnsi"/>
          <w:sz w:val="24"/>
        </w:rPr>
      </w:pPr>
      <w:r w:rsidRPr="00E32ED6">
        <w:rPr>
          <w:rFonts w:asciiTheme="minorHAnsi" w:hAnsiTheme="minorHAnsi" w:cstheme="minorHAnsi"/>
          <w:sz w:val="24"/>
        </w:rPr>
        <w:t>See guidance document number 4</w:t>
      </w:r>
    </w:p>
    <w:p w:rsidR="00E32ED6" w:rsidRDefault="00E32ED6" w:rsidP="00E32ED6"/>
    <w:p w:rsidR="00E32ED6" w:rsidRDefault="00E32ED6" w:rsidP="00E32ED6"/>
    <w:p w:rsidR="00E32ED6" w:rsidRDefault="00E32ED6" w:rsidP="00E32ED6"/>
    <w:p w:rsidR="00CF68BE" w:rsidRPr="00F0272D" w:rsidRDefault="0069440A" w:rsidP="00E32ED6">
      <w:pPr>
        <w:jc w:val="center"/>
        <w:rPr>
          <w:rFonts w:asciiTheme="minorHAnsi" w:hAnsiTheme="minorHAnsi" w:cstheme="minorHAnsi"/>
          <w:sz w:val="24"/>
        </w:rPr>
      </w:pPr>
    </w:p>
    <w:sectPr w:rsidR="00CF68BE" w:rsidRPr="00F0272D" w:rsidSect="00902B4A">
      <w:headerReference w:type="default" r:id="rId7"/>
      <w:footerReference w:type="default" r:id="rId8"/>
      <w:headerReference w:type="first" r:id="rId9"/>
      <w:footerReference w:type="first" r:id="rId10"/>
      <w:pgSz w:w="11900" w:h="16840"/>
      <w:pgMar w:top="1440" w:right="985" w:bottom="1440" w:left="993" w:header="426" w:footer="500" w:gutter="0"/>
      <w:cols w:space="720"/>
      <w:titlePg/>
      <w:docGrid w:linePitch="8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40A" w:rsidRDefault="0069440A" w:rsidP="00545746">
      <w:r>
        <w:separator/>
      </w:r>
    </w:p>
  </w:endnote>
  <w:endnote w:type="continuationSeparator" w:id="1">
    <w:p w:rsidR="0069440A" w:rsidRDefault="0069440A" w:rsidP="005457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F2A" w:rsidRPr="00EB0D53" w:rsidRDefault="00F24F2A" w:rsidP="00EB0D53">
    <w:pPr>
      <w:pStyle w:val="Footer"/>
      <w:jc w:val="right"/>
      <w:rPr>
        <w:b/>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53" w:rsidRPr="00F24F2A" w:rsidRDefault="00EB0D53" w:rsidP="00EB0D53">
    <w:pPr>
      <w:pStyle w:val="Footer"/>
      <w:tabs>
        <w:tab w:val="left" w:pos="2560"/>
      </w:tabs>
      <w:jc w:val="center"/>
      <w:rPr>
        <w:b/>
        <w:sz w:val="16"/>
        <w:szCs w:val="16"/>
      </w:rPr>
    </w:pPr>
    <w:r w:rsidRPr="00F24F2A">
      <w:rPr>
        <w:b/>
        <w:sz w:val="16"/>
        <w:szCs w:val="16"/>
      </w:rPr>
      <w:t>www.guardiansofthearches.org.uk</w:t>
    </w:r>
  </w:p>
  <w:p w:rsidR="00EB0D53" w:rsidRPr="00F24F2A" w:rsidRDefault="00EB0D53" w:rsidP="00EB0D53">
    <w:pPr>
      <w:pStyle w:val="Footer"/>
      <w:tabs>
        <w:tab w:val="left" w:pos="2560"/>
      </w:tabs>
      <w:jc w:val="center"/>
      <w:rPr>
        <w:sz w:val="16"/>
        <w:szCs w:val="16"/>
      </w:rPr>
    </w:pPr>
  </w:p>
  <w:p w:rsidR="00EB0D53" w:rsidRPr="00A45D0D" w:rsidRDefault="00EB0D53" w:rsidP="00EB0D53">
    <w:pPr>
      <w:pStyle w:val="Footer"/>
      <w:tabs>
        <w:tab w:val="left" w:pos="2560"/>
      </w:tabs>
      <w:jc w:val="center"/>
      <w:rPr>
        <w:sz w:val="16"/>
        <w:szCs w:val="16"/>
      </w:rPr>
    </w:pPr>
    <w:hyperlink r:id="rId1" w:history="1">
      <w:r w:rsidRPr="00A45D0D">
        <w:rPr>
          <w:rStyle w:val="Hyperlink"/>
          <w:color w:val="000000" w:themeColor="text1"/>
          <w:sz w:val="16"/>
          <w:szCs w:val="16"/>
          <w:u w:val="none"/>
        </w:rPr>
        <w:t>contact@guardiansofthearches.org.uk</w:t>
      </w:r>
    </w:hyperlink>
    <w:r w:rsidRPr="00A45D0D">
      <w:rPr>
        <w:sz w:val="16"/>
        <w:szCs w:val="16"/>
      </w:rPr>
      <w:t xml:space="preserve"> | +44 (0)7957 633 869 | +44 (0)20 8265 1448</w:t>
    </w:r>
  </w:p>
  <w:p w:rsidR="00EB0D53" w:rsidRPr="00F24F2A" w:rsidRDefault="00EB0D53" w:rsidP="00EB0D53">
    <w:pPr>
      <w:pStyle w:val="Footer"/>
      <w:tabs>
        <w:tab w:val="left" w:pos="2560"/>
      </w:tabs>
      <w:jc w:val="center"/>
      <w:rPr>
        <w:sz w:val="16"/>
        <w:szCs w:val="16"/>
      </w:rPr>
    </w:pPr>
  </w:p>
  <w:p w:rsidR="00EB0D53" w:rsidRPr="00A45D0D" w:rsidRDefault="00EB0D53" w:rsidP="00EB0D53">
    <w:pPr>
      <w:pStyle w:val="Footer"/>
      <w:tabs>
        <w:tab w:val="left" w:pos="2560"/>
      </w:tabs>
      <w:jc w:val="center"/>
      <w:rPr>
        <w:color w:val="A5A5A5" w:themeColor="accent3"/>
        <w:sz w:val="16"/>
        <w:szCs w:val="16"/>
      </w:rPr>
    </w:pPr>
    <w:r w:rsidRPr="00A45D0D">
      <w:rPr>
        <w:color w:val="A5A5A5" w:themeColor="accent3"/>
        <w:sz w:val="16"/>
        <w:szCs w:val="16"/>
      </w:rPr>
      <w:t>Guardians of the Arches Limited is a non-profit, Independent Tenants Association registered in England and Wales</w:t>
    </w:r>
  </w:p>
  <w:p w:rsidR="00EB0D53" w:rsidRPr="00A45D0D" w:rsidRDefault="00EB0D53" w:rsidP="00EB0D53">
    <w:pPr>
      <w:pStyle w:val="Footer"/>
      <w:tabs>
        <w:tab w:val="left" w:pos="2560"/>
      </w:tabs>
      <w:jc w:val="center"/>
      <w:rPr>
        <w:color w:val="A5A5A5" w:themeColor="accent3"/>
        <w:sz w:val="16"/>
        <w:szCs w:val="16"/>
      </w:rPr>
    </w:pPr>
    <w:r w:rsidRPr="00A45D0D">
      <w:rPr>
        <w:color w:val="A5A5A5" w:themeColor="accent3"/>
        <w:sz w:val="16"/>
        <w:szCs w:val="16"/>
      </w:rPr>
      <w:t>Registered address:  Railway Arch 5, Cherry Tree Walk, Leeds, LS2 7EB</w:t>
    </w:r>
  </w:p>
  <w:p w:rsidR="00EB0D53" w:rsidRPr="00EB0D53" w:rsidRDefault="00EB0D53" w:rsidP="00EB0D53">
    <w:pPr>
      <w:pStyle w:val="Footer"/>
      <w:tabs>
        <w:tab w:val="clear" w:pos="4513"/>
        <w:tab w:val="clear" w:pos="9026"/>
        <w:tab w:val="left" w:pos="2560"/>
      </w:tabs>
      <w:jc w:val="center"/>
      <w:rPr>
        <w:color w:val="A5A5A5" w:themeColor="accent3"/>
        <w:sz w:val="16"/>
        <w:szCs w:val="16"/>
      </w:rPr>
    </w:pPr>
    <w:r w:rsidRPr="00A45D0D">
      <w:rPr>
        <w:color w:val="A5A5A5" w:themeColor="accent3"/>
        <w:sz w:val="16"/>
        <w:szCs w:val="16"/>
      </w:rPr>
      <w:t>Company Number 11324834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40A" w:rsidRDefault="0069440A" w:rsidP="00545746">
      <w:r>
        <w:separator/>
      </w:r>
    </w:p>
  </w:footnote>
  <w:footnote w:type="continuationSeparator" w:id="1">
    <w:p w:rsidR="0069440A" w:rsidRDefault="0069440A" w:rsidP="00545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EB0D53" w:rsidRDefault="00EB0D53">
        <w:pPr>
          <w:pStyle w:val="Header"/>
          <w:jc w:val="right"/>
        </w:pPr>
        <w:r w:rsidRPr="00EB0D53">
          <w:drawing>
            <wp:anchor distT="0" distB="0" distL="114300" distR="114300" simplePos="0" relativeHeight="251658240" behindDoc="0" locked="0" layoutInCell="1" allowOverlap="1">
              <wp:simplePos x="0" y="0"/>
              <wp:positionH relativeFrom="column">
                <wp:posOffset>-158499</wp:posOffset>
              </wp:positionH>
              <wp:positionV relativeFrom="paragraph">
                <wp:posOffset>31494</wp:posOffset>
              </wp:positionV>
              <wp:extent cx="987628" cy="982972"/>
              <wp:effectExtent l="19050" t="0" r="2972"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colou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87628" cy="982972"/>
                      </a:xfrm>
                      <a:prstGeom prst="rect">
                        <a:avLst/>
                      </a:prstGeom>
                    </pic:spPr>
                  </pic:pic>
                </a:graphicData>
              </a:graphic>
            </wp:anchor>
          </w:drawing>
        </w:r>
        <w:r w:rsidRPr="00EB0D53">
          <w:rPr>
            <w:rFonts w:asciiTheme="minorHAnsi" w:hAnsiTheme="minorHAnsi" w:cstheme="minorHAnsi"/>
            <w:sz w:val="24"/>
          </w:rPr>
          <w:t xml:space="preserve">Page </w:t>
        </w:r>
        <w:r w:rsidRPr="00EB0D53">
          <w:rPr>
            <w:rFonts w:asciiTheme="minorHAnsi" w:hAnsiTheme="minorHAnsi" w:cstheme="minorHAnsi"/>
            <w:b/>
            <w:sz w:val="24"/>
          </w:rPr>
          <w:fldChar w:fldCharType="begin"/>
        </w:r>
        <w:r w:rsidRPr="00EB0D53">
          <w:rPr>
            <w:rFonts w:asciiTheme="minorHAnsi" w:hAnsiTheme="minorHAnsi" w:cstheme="minorHAnsi"/>
            <w:b/>
            <w:sz w:val="24"/>
          </w:rPr>
          <w:instrText xml:space="preserve"> PAGE </w:instrText>
        </w:r>
        <w:r w:rsidRPr="00EB0D53">
          <w:rPr>
            <w:rFonts w:asciiTheme="minorHAnsi" w:hAnsiTheme="minorHAnsi" w:cstheme="minorHAnsi"/>
            <w:b/>
            <w:sz w:val="24"/>
          </w:rPr>
          <w:fldChar w:fldCharType="separate"/>
        </w:r>
        <w:r w:rsidR="00E32ED6">
          <w:rPr>
            <w:rFonts w:asciiTheme="minorHAnsi" w:hAnsiTheme="minorHAnsi" w:cstheme="minorHAnsi"/>
            <w:b/>
            <w:noProof/>
            <w:sz w:val="24"/>
          </w:rPr>
          <w:t>2</w:t>
        </w:r>
        <w:r w:rsidRPr="00EB0D53">
          <w:rPr>
            <w:rFonts w:asciiTheme="minorHAnsi" w:hAnsiTheme="minorHAnsi" w:cstheme="minorHAnsi"/>
            <w:b/>
            <w:sz w:val="24"/>
          </w:rPr>
          <w:fldChar w:fldCharType="end"/>
        </w:r>
        <w:r w:rsidRPr="00EB0D53">
          <w:rPr>
            <w:rFonts w:asciiTheme="minorHAnsi" w:hAnsiTheme="minorHAnsi" w:cstheme="minorHAnsi"/>
            <w:sz w:val="24"/>
          </w:rPr>
          <w:t xml:space="preserve"> of </w:t>
        </w:r>
        <w:r w:rsidRPr="00EB0D53">
          <w:rPr>
            <w:rFonts w:asciiTheme="minorHAnsi" w:hAnsiTheme="minorHAnsi" w:cstheme="minorHAnsi"/>
            <w:b/>
            <w:sz w:val="24"/>
          </w:rPr>
          <w:fldChar w:fldCharType="begin"/>
        </w:r>
        <w:r w:rsidRPr="00EB0D53">
          <w:rPr>
            <w:rFonts w:asciiTheme="minorHAnsi" w:hAnsiTheme="minorHAnsi" w:cstheme="minorHAnsi"/>
            <w:b/>
            <w:sz w:val="24"/>
          </w:rPr>
          <w:instrText xml:space="preserve"> NUMPAGES  </w:instrText>
        </w:r>
        <w:r w:rsidRPr="00EB0D53">
          <w:rPr>
            <w:rFonts w:asciiTheme="minorHAnsi" w:hAnsiTheme="minorHAnsi" w:cstheme="minorHAnsi"/>
            <w:b/>
            <w:sz w:val="24"/>
          </w:rPr>
          <w:fldChar w:fldCharType="separate"/>
        </w:r>
        <w:r w:rsidR="00E32ED6">
          <w:rPr>
            <w:rFonts w:asciiTheme="minorHAnsi" w:hAnsiTheme="minorHAnsi" w:cstheme="minorHAnsi"/>
            <w:b/>
            <w:noProof/>
            <w:sz w:val="24"/>
          </w:rPr>
          <w:t>3</w:t>
        </w:r>
        <w:r w:rsidRPr="00EB0D53">
          <w:rPr>
            <w:rFonts w:asciiTheme="minorHAnsi" w:hAnsiTheme="minorHAnsi" w:cstheme="minorHAnsi"/>
            <w:b/>
            <w:sz w:val="24"/>
          </w:rPr>
          <w:fldChar w:fldCharType="end"/>
        </w:r>
      </w:p>
    </w:sdtContent>
  </w:sdt>
  <w:p w:rsidR="00545746" w:rsidRDefault="00545746" w:rsidP="00EB0D53">
    <w:pPr>
      <w:pStyle w:val="Header"/>
      <w:ind w:left="0"/>
    </w:pPr>
  </w:p>
  <w:p w:rsidR="00EB0D53" w:rsidRDefault="00EB0D53" w:rsidP="00EB0D53">
    <w:pPr>
      <w:pStyle w:val="Header"/>
      <w:ind w:left="0"/>
      <w:rPr>
        <w:sz w:val="24"/>
      </w:rPr>
    </w:pPr>
  </w:p>
  <w:p w:rsidR="00902B4A" w:rsidRPr="00EB0D53" w:rsidRDefault="00902B4A" w:rsidP="00902B4A">
    <w:pPr>
      <w:rPr>
        <w:rFonts w:asciiTheme="minorHAnsi" w:hAnsiTheme="minorHAnsi" w:cstheme="minorHAnsi"/>
        <w:sz w:val="32"/>
        <w:szCs w:val="32"/>
      </w:rPr>
    </w:pPr>
    <w:r>
      <w:rPr>
        <w:sz w:val="24"/>
      </w:rPr>
      <w:tab/>
    </w:r>
    <w:r>
      <w:rPr>
        <w:sz w:val="24"/>
      </w:rPr>
      <w:tab/>
    </w:r>
  </w:p>
  <w:p w:rsidR="00EB0D53" w:rsidRPr="00EB0D53" w:rsidRDefault="00EB0D53" w:rsidP="00EB0D53">
    <w:pPr>
      <w:pStyle w:val="Header"/>
      <w:ind w:left="0"/>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53" w:rsidRDefault="00EB0D53" w:rsidP="00EB0D53">
    <w:pPr>
      <w:pStyle w:val="Header"/>
      <w:jc w:val="center"/>
    </w:pPr>
    <w:r w:rsidRPr="00EB0D53">
      <w:drawing>
        <wp:inline distT="0" distB="0" distL="0" distR="0">
          <wp:extent cx="1232535" cy="1228359"/>
          <wp:effectExtent l="0" t="0" r="1206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colour.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296989" cy="129259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03E02"/>
    <w:multiLevelType w:val="hybridMultilevel"/>
    <w:tmpl w:val="474C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300"/>
  <w:drawingGridVerticalSpacing w:val="408"/>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545746"/>
    <w:rsid w:val="001A530B"/>
    <w:rsid w:val="001E4FDA"/>
    <w:rsid w:val="00285001"/>
    <w:rsid w:val="00351D29"/>
    <w:rsid w:val="003668FC"/>
    <w:rsid w:val="003874E5"/>
    <w:rsid w:val="003A37D7"/>
    <w:rsid w:val="00545746"/>
    <w:rsid w:val="00553F01"/>
    <w:rsid w:val="005A71EA"/>
    <w:rsid w:val="0069440A"/>
    <w:rsid w:val="006F5889"/>
    <w:rsid w:val="00823240"/>
    <w:rsid w:val="008F3779"/>
    <w:rsid w:val="00902B4A"/>
    <w:rsid w:val="0092386D"/>
    <w:rsid w:val="00A45D0D"/>
    <w:rsid w:val="00C35EE5"/>
    <w:rsid w:val="00CE10BB"/>
    <w:rsid w:val="00E32ED6"/>
    <w:rsid w:val="00EB0D53"/>
    <w:rsid w:val="00F0272D"/>
    <w:rsid w:val="00F24F2A"/>
    <w:rsid w:val="00FB0321"/>
    <w:rsid w:val="00FC0F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ame"/>
    <w:qFormat/>
    <w:rsid w:val="003874E5"/>
    <w:pPr>
      <w:ind w:left="480"/>
    </w:pPr>
    <w:rPr>
      <w:rFonts w:ascii="Arial" w:hAnsi="Arial"/>
      <w:color w:val="000000" w:themeColor="text1"/>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746"/>
    <w:pPr>
      <w:tabs>
        <w:tab w:val="center" w:pos="4513"/>
        <w:tab w:val="right" w:pos="9026"/>
      </w:tabs>
    </w:pPr>
  </w:style>
  <w:style w:type="character" w:customStyle="1" w:styleId="HeaderChar">
    <w:name w:val="Header Char"/>
    <w:basedOn w:val="DefaultParagraphFont"/>
    <w:link w:val="Header"/>
    <w:uiPriority w:val="99"/>
    <w:rsid w:val="00545746"/>
    <w:rPr>
      <w:rFonts w:ascii="Arial" w:hAnsi="Arial"/>
      <w:color w:val="000000" w:themeColor="text1"/>
      <w:sz w:val="60"/>
    </w:rPr>
  </w:style>
  <w:style w:type="paragraph" w:styleId="Footer">
    <w:name w:val="footer"/>
    <w:basedOn w:val="Normal"/>
    <w:link w:val="FooterChar"/>
    <w:uiPriority w:val="99"/>
    <w:unhideWhenUsed/>
    <w:rsid w:val="00545746"/>
    <w:pPr>
      <w:tabs>
        <w:tab w:val="center" w:pos="4513"/>
        <w:tab w:val="right" w:pos="9026"/>
      </w:tabs>
    </w:pPr>
  </w:style>
  <w:style w:type="character" w:customStyle="1" w:styleId="FooterChar">
    <w:name w:val="Footer Char"/>
    <w:basedOn w:val="DefaultParagraphFont"/>
    <w:link w:val="Footer"/>
    <w:uiPriority w:val="99"/>
    <w:rsid w:val="00545746"/>
    <w:rPr>
      <w:rFonts w:ascii="Arial" w:hAnsi="Arial"/>
      <w:color w:val="000000" w:themeColor="text1"/>
      <w:sz w:val="60"/>
    </w:rPr>
  </w:style>
  <w:style w:type="character" w:styleId="Hyperlink">
    <w:name w:val="Hyperlink"/>
    <w:basedOn w:val="DefaultParagraphFont"/>
    <w:uiPriority w:val="99"/>
    <w:unhideWhenUsed/>
    <w:rsid w:val="00F24F2A"/>
    <w:rPr>
      <w:color w:val="0563C1" w:themeColor="hyperlink"/>
      <w:u w:val="single"/>
    </w:rPr>
  </w:style>
  <w:style w:type="paragraph" w:styleId="ListParagraph">
    <w:name w:val="List Paragraph"/>
    <w:basedOn w:val="Normal"/>
    <w:uiPriority w:val="34"/>
    <w:qFormat/>
    <w:rsid w:val="00CE10BB"/>
    <w:pPr>
      <w:ind w:left="720"/>
      <w:contextualSpacing/>
    </w:pPr>
  </w:style>
  <w:style w:type="paragraph" w:styleId="BalloonText">
    <w:name w:val="Balloon Text"/>
    <w:basedOn w:val="Normal"/>
    <w:link w:val="BalloonTextChar"/>
    <w:uiPriority w:val="99"/>
    <w:semiHidden/>
    <w:unhideWhenUsed/>
    <w:rsid w:val="00EB0D53"/>
    <w:rPr>
      <w:rFonts w:ascii="Tahoma" w:hAnsi="Tahoma" w:cs="Tahoma"/>
      <w:sz w:val="16"/>
      <w:szCs w:val="16"/>
    </w:rPr>
  </w:style>
  <w:style w:type="character" w:customStyle="1" w:styleId="BalloonTextChar">
    <w:name w:val="Balloon Text Char"/>
    <w:basedOn w:val="DefaultParagraphFont"/>
    <w:link w:val="BalloonText"/>
    <w:uiPriority w:val="99"/>
    <w:semiHidden/>
    <w:rsid w:val="00EB0D53"/>
    <w:rPr>
      <w:rFonts w:ascii="Tahoma" w:hAnsi="Tahoma" w:cs="Tahoma"/>
      <w:color w:val="000000" w:themeColor="text1"/>
      <w:sz w:val="16"/>
      <w:szCs w:val="16"/>
    </w:rPr>
  </w:style>
</w:styles>
</file>

<file path=word/webSettings.xml><?xml version="1.0" encoding="utf-8"?>
<w:webSettings xmlns:r="http://schemas.openxmlformats.org/officeDocument/2006/relationships" xmlns:w="http://schemas.openxmlformats.org/wordprocessingml/2006/main">
  <w:divs>
    <w:div w:id="8647091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contact@guardiansofthearch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2022-02-15T17:03:00Z</dcterms:created>
  <dcterms:modified xsi:type="dcterms:W3CDTF">2022-02-15T17:03:00Z</dcterms:modified>
</cp:coreProperties>
</file>