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BB" w:rsidRPr="00F0272D" w:rsidRDefault="00CE10BB" w:rsidP="003A37D7">
      <w:pPr>
        <w:spacing w:line="360" w:lineRule="auto"/>
        <w:ind w:left="0"/>
        <w:rPr>
          <w:rFonts w:eastAsia="Times New Roman" w:cs="Arial"/>
          <w:color w:val="000000"/>
          <w:sz w:val="32"/>
          <w:szCs w:val="32"/>
          <w:shd w:val="clear" w:color="auto" w:fill="FFFFFF"/>
          <w:lang w:eastAsia="en-GB"/>
        </w:rPr>
      </w:pPr>
    </w:p>
    <w:p w:rsidR="00F0272D" w:rsidRPr="00F0272D" w:rsidRDefault="00F0272D" w:rsidP="00F0272D">
      <w:pPr>
        <w:jc w:val="center"/>
        <w:rPr>
          <w:rFonts w:asciiTheme="minorHAnsi" w:hAnsiTheme="minorHAnsi" w:cstheme="minorHAnsi"/>
          <w:b/>
          <w:bCs/>
          <w:sz w:val="32"/>
          <w:szCs w:val="32"/>
        </w:rPr>
      </w:pPr>
      <w:r w:rsidRPr="00F0272D">
        <w:rPr>
          <w:rFonts w:asciiTheme="minorHAnsi" w:hAnsiTheme="minorHAnsi" w:cstheme="minorHAnsi"/>
          <w:b/>
          <w:bCs/>
          <w:sz w:val="32"/>
          <w:szCs w:val="32"/>
        </w:rPr>
        <w:t>Protected Rent Debt (PRD)</w:t>
      </w:r>
    </w:p>
    <w:p w:rsidR="00F0272D" w:rsidRPr="00F0272D" w:rsidRDefault="00F0272D" w:rsidP="00F0272D">
      <w:pPr>
        <w:jc w:val="center"/>
        <w:rPr>
          <w:rFonts w:asciiTheme="minorHAnsi" w:hAnsiTheme="minorHAnsi" w:cstheme="minorHAnsi"/>
          <w:sz w:val="32"/>
          <w:szCs w:val="32"/>
        </w:rPr>
      </w:pPr>
      <w:r w:rsidRPr="00F0272D">
        <w:rPr>
          <w:rFonts w:asciiTheme="minorHAnsi" w:hAnsiTheme="minorHAnsi" w:cstheme="minorHAnsi"/>
          <w:sz w:val="32"/>
          <w:szCs w:val="32"/>
        </w:rPr>
        <w:t>Guidance Document 4</w:t>
      </w:r>
    </w:p>
    <w:p w:rsidR="00F0272D" w:rsidRPr="00F0272D" w:rsidRDefault="00F0272D" w:rsidP="00F0272D">
      <w:pPr>
        <w:jc w:val="center"/>
        <w:rPr>
          <w:rFonts w:asciiTheme="minorHAnsi" w:hAnsiTheme="minorHAnsi" w:cstheme="minorHAnsi"/>
          <w:sz w:val="32"/>
          <w:szCs w:val="32"/>
        </w:rPr>
      </w:pPr>
      <w:r w:rsidRPr="00F0272D">
        <w:rPr>
          <w:rFonts w:asciiTheme="minorHAnsi" w:hAnsiTheme="minorHAnsi" w:cstheme="minorHAnsi"/>
          <w:sz w:val="32"/>
          <w:szCs w:val="32"/>
        </w:rPr>
        <w:t>(JAN 2022)</w:t>
      </w:r>
    </w:p>
    <w:p w:rsidR="00F0272D" w:rsidRPr="00F0272D" w:rsidRDefault="00F0272D" w:rsidP="00F0272D">
      <w:pPr>
        <w:jc w:val="center"/>
        <w:rPr>
          <w:rFonts w:asciiTheme="minorHAnsi" w:hAnsiTheme="minorHAnsi" w:cstheme="minorHAnsi"/>
          <w:sz w:val="24"/>
        </w:rPr>
      </w:pPr>
    </w:p>
    <w:p w:rsidR="00F0272D" w:rsidRPr="00F0272D" w:rsidRDefault="00F0272D" w:rsidP="00F0272D">
      <w:pPr>
        <w:rPr>
          <w:rFonts w:asciiTheme="minorHAnsi" w:hAnsiTheme="minorHAnsi" w:cstheme="minorHAnsi"/>
          <w:b/>
          <w:bCs/>
          <w:sz w:val="24"/>
        </w:rPr>
      </w:pPr>
    </w:p>
    <w:p w:rsidR="00F0272D" w:rsidRPr="00F0272D" w:rsidRDefault="00F0272D" w:rsidP="00F0272D">
      <w:pPr>
        <w:rPr>
          <w:rFonts w:asciiTheme="minorHAnsi" w:hAnsiTheme="minorHAnsi" w:cstheme="minorHAnsi"/>
          <w:b/>
          <w:bCs/>
          <w:sz w:val="24"/>
        </w:rPr>
      </w:pPr>
      <w:r w:rsidRPr="00F0272D">
        <w:rPr>
          <w:rFonts w:asciiTheme="minorHAnsi" w:hAnsiTheme="minorHAnsi" w:cstheme="minorHAnsi"/>
          <w:b/>
          <w:bCs/>
          <w:sz w:val="24"/>
        </w:rPr>
        <w:t>What alternative options exist?</w:t>
      </w:r>
    </w:p>
    <w:p w:rsidR="00F0272D" w:rsidRPr="00F0272D" w:rsidRDefault="00F0272D" w:rsidP="00F0272D">
      <w:pPr>
        <w:rPr>
          <w:rFonts w:asciiTheme="minorHAnsi" w:hAnsiTheme="minorHAnsi" w:cstheme="minorHAnsi"/>
          <w:b/>
          <w:bCs/>
          <w:sz w:val="24"/>
        </w:rPr>
      </w:pPr>
    </w:p>
    <w:p w:rsidR="00F0272D" w:rsidRPr="00F0272D" w:rsidRDefault="00F0272D" w:rsidP="00F0272D">
      <w:pPr>
        <w:rPr>
          <w:rFonts w:asciiTheme="minorHAnsi" w:hAnsiTheme="minorHAnsi" w:cstheme="minorHAnsi"/>
          <w:sz w:val="24"/>
        </w:rPr>
      </w:pPr>
      <w:r w:rsidRPr="00F0272D">
        <w:rPr>
          <w:rFonts w:asciiTheme="minorHAnsi" w:hAnsiTheme="minorHAnsi" w:cstheme="minorHAnsi"/>
          <w:b/>
          <w:bCs/>
          <w:i/>
          <w:iCs/>
          <w:sz w:val="24"/>
        </w:rPr>
        <w:t>Fate</w:t>
      </w:r>
      <w:r w:rsidRPr="00F0272D">
        <w:rPr>
          <w:rFonts w:asciiTheme="minorHAnsi" w:hAnsiTheme="minorHAnsi" w:cstheme="minorHAnsi"/>
          <w:sz w:val="24"/>
        </w:rPr>
        <w:t>, you can take your chances and wait and see if your landlord simply forgives you the rent you owe them and or waives any rights to forfeit your agreement. (Highly uncertain - high risk)</w:t>
      </w:r>
    </w:p>
    <w:p w:rsidR="00F0272D" w:rsidRDefault="00F0272D" w:rsidP="00F0272D">
      <w:pPr>
        <w:rPr>
          <w:rFonts w:asciiTheme="minorHAnsi" w:hAnsiTheme="minorHAnsi" w:cstheme="minorHAnsi"/>
          <w:b/>
          <w:bCs/>
          <w:i/>
          <w:iCs/>
          <w:sz w:val="24"/>
        </w:rPr>
      </w:pPr>
    </w:p>
    <w:p w:rsidR="00F0272D" w:rsidRDefault="00F0272D" w:rsidP="00F0272D">
      <w:pPr>
        <w:rPr>
          <w:rFonts w:asciiTheme="minorHAnsi" w:hAnsiTheme="minorHAnsi" w:cstheme="minorHAnsi"/>
          <w:sz w:val="24"/>
        </w:rPr>
      </w:pPr>
      <w:r w:rsidRPr="00F0272D">
        <w:rPr>
          <w:rFonts w:asciiTheme="minorHAnsi" w:hAnsiTheme="minorHAnsi" w:cstheme="minorHAnsi"/>
          <w:b/>
          <w:bCs/>
          <w:i/>
          <w:iCs/>
          <w:sz w:val="24"/>
        </w:rPr>
        <w:t>Closure</w:t>
      </w:r>
      <w:r w:rsidRPr="00F0272D">
        <w:rPr>
          <w:rFonts w:asciiTheme="minorHAnsi" w:hAnsiTheme="minorHAnsi" w:cstheme="minorHAnsi"/>
          <w:sz w:val="24"/>
        </w:rPr>
        <w:t xml:space="preserve">, agree surrender (this may be appropriate for those with unviable businesses), if you are considering abandoning the premises without agreement do note that this might not stop the debts from accruing. </w:t>
      </w:r>
    </w:p>
    <w:p w:rsidR="00F0272D" w:rsidRPr="00F0272D" w:rsidRDefault="00F0272D" w:rsidP="00F0272D">
      <w:pPr>
        <w:rPr>
          <w:rFonts w:asciiTheme="minorHAnsi" w:hAnsiTheme="minorHAnsi" w:cstheme="minorHAnsi"/>
          <w:sz w:val="24"/>
        </w:rPr>
      </w:pPr>
    </w:p>
    <w:p w:rsidR="00F0272D" w:rsidRDefault="00F0272D" w:rsidP="00F0272D">
      <w:pPr>
        <w:rPr>
          <w:rFonts w:asciiTheme="minorHAnsi" w:hAnsiTheme="minorHAnsi" w:cstheme="minorHAnsi"/>
          <w:sz w:val="24"/>
        </w:rPr>
      </w:pPr>
      <w:r w:rsidRPr="00F0272D">
        <w:rPr>
          <w:rFonts w:asciiTheme="minorHAnsi" w:hAnsiTheme="minorHAnsi" w:cstheme="minorHAnsi"/>
          <w:b/>
          <w:bCs/>
          <w:i/>
          <w:iCs/>
          <w:sz w:val="24"/>
        </w:rPr>
        <w:t>Take insolvency action in the courts to ring fence debts</w:t>
      </w:r>
      <w:r w:rsidRPr="00F0272D">
        <w:rPr>
          <w:rFonts w:asciiTheme="minorHAnsi" w:hAnsiTheme="minorHAnsi" w:cstheme="minorHAnsi"/>
          <w:sz w:val="24"/>
        </w:rPr>
        <w:t>–if you enter an IVA or CVA you cannot use the legislation. Insolvency can affect lease rights or other commercial relationships you hold i.e. with your bank or suppliers. Insolvency is often expensive and inflexible, (say) the situation changes for the better you cannot change the arrangement and are stuck with it.</w:t>
      </w:r>
    </w:p>
    <w:p w:rsidR="00F0272D" w:rsidRPr="00F0272D" w:rsidRDefault="00F0272D" w:rsidP="00F0272D">
      <w:pPr>
        <w:rPr>
          <w:rFonts w:asciiTheme="minorHAnsi" w:hAnsiTheme="minorHAnsi" w:cstheme="minorHAnsi"/>
          <w:sz w:val="24"/>
        </w:rPr>
      </w:pPr>
    </w:p>
    <w:p w:rsidR="00F0272D" w:rsidRPr="00F0272D" w:rsidRDefault="00F0272D" w:rsidP="00F0272D">
      <w:pPr>
        <w:rPr>
          <w:rFonts w:asciiTheme="minorHAnsi" w:hAnsiTheme="minorHAnsi" w:cstheme="minorHAnsi"/>
          <w:sz w:val="24"/>
        </w:rPr>
      </w:pPr>
      <w:r w:rsidRPr="00F0272D">
        <w:rPr>
          <w:rFonts w:asciiTheme="minorHAnsi" w:hAnsiTheme="minorHAnsi" w:cstheme="minorHAnsi"/>
          <w:b/>
          <w:bCs/>
          <w:i/>
          <w:iCs/>
          <w:sz w:val="24"/>
        </w:rPr>
        <w:t>Consider a different form of arbitration</w:t>
      </w:r>
      <w:r w:rsidRPr="00F0272D">
        <w:rPr>
          <w:rFonts w:asciiTheme="minorHAnsi" w:hAnsiTheme="minorHAnsi" w:cstheme="minorHAnsi"/>
          <w:i/>
          <w:iCs/>
          <w:sz w:val="24"/>
        </w:rPr>
        <w:t xml:space="preserve"> – </w:t>
      </w:r>
      <w:r w:rsidRPr="00F0272D">
        <w:rPr>
          <w:rFonts w:asciiTheme="minorHAnsi" w:hAnsiTheme="minorHAnsi" w:cstheme="minorHAnsi"/>
          <w:sz w:val="24"/>
        </w:rPr>
        <w:t>for example the Chartered Institute of Arbitrators offer a fixed fee service for parties under its Pandemic Business Dispute Resolution Service</w:t>
      </w:r>
    </w:p>
    <w:p w:rsidR="00F0272D" w:rsidRDefault="00F0272D" w:rsidP="00F0272D">
      <w:pPr>
        <w:rPr>
          <w:rFonts w:asciiTheme="minorHAnsi" w:hAnsiTheme="minorHAnsi" w:cstheme="minorHAnsi"/>
          <w:sz w:val="24"/>
        </w:rPr>
      </w:pPr>
      <w:r w:rsidRPr="00F0272D">
        <w:rPr>
          <w:rFonts w:asciiTheme="minorHAnsi" w:hAnsiTheme="minorHAnsi" w:cstheme="minorHAnsi"/>
          <w:b/>
          <w:bCs/>
          <w:i/>
          <w:iCs/>
          <w:sz w:val="24"/>
        </w:rPr>
        <w:t>Consider</w:t>
      </w:r>
      <w:r w:rsidRPr="00F0272D">
        <w:rPr>
          <w:rFonts w:asciiTheme="minorHAnsi" w:hAnsiTheme="minorHAnsi" w:cstheme="minorHAnsi"/>
          <w:sz w:val="24"/>
        </w:rPr>
        <w:t xml:space="preserve"> one off full and final settlement rather than use the legislation (i.e., a lump sum offer – may not be affordable).</w:t>
      </w:r>
    </w:p>
    <w:p w:rsidR="00F0272D" w:rsidRPr="00F0272D" w:rsidRDefault="00F0272D" w:rsidP="00F0272D">
      <w:pPr>
        <w:rPr>
          <w:rFonts w:asciiTheme="minorHAnsi" w:hAnsiTheme="minorHAnsi" w:cstheme="minorHAnsi"/>
          <w:sz w:val="24"/>
        </w:rPr>
      </w:pPr>
    </w:p>
    <w:p w:rsidR="00F0272D" w:rsidRPr="00F0272D" w:rsidRDefault="00F0272D" w:rsidP="00F0272D">
      <w:pPr>
        <w:rPr>
          <w:rFonts w:asciiTheme="minorHAnsi" w:hAnsiTheme="minorHAnsi" w:cstheme="minorHAnsi"/>
          <w:sz w:val="24"/>
        </w:rPr>
      </w:pPr>
      <w:r w:rsidRPr="00F0272D">
        <w:rPr>
          <w:rFonts w:asciiTheme="minorHAnsi" w:hAnsiTheme="minorHAnsi" w:cstheme="minorHAnsi"/>
          <w:b/>
          <w:bCs/>
          <w:i/>
          <w:iCs/>
          <w:sz w:val="24"/>
        </w:rPr>
        <w:t xml:space="preserve">Make a “family arrangement </w:t>
      </w:r>
      <w:r w:rsidRPr="00F0272D">
        <w:rPr>
          <w:rFonts w:asciiTheme="minorHAnsi" w:hAnsiTheme="minorHAnsi" w:cstheme="minorHAnsi"/>
          <w:sz w:val="24"/>
        </w:rPr>
        <w:t>“or propose a debt plan to your landlord including any other creditors that you owe money (these are flexible, affordable plans and low cost to set up). These can provide breathing space and leave you free to change your mind and try something else later.</w:t>
      </w:r>
    </w:p>
    <w:p w:rsidR="00F0272D" w:rsidRPr="00F0272D" w:rsidRDefault="00F0272D" w:rsidP="00F0272D">
      <w:pPr>
        <w:rPr>
          <w:rFonts w:asciiTheme="minorHAnsi" w:hAnsiTheme="minorHAnsi" w:cstheme="minorHAnsi"/>
          <w:b/>
          <w:bCs/>
          <w:i/>
          <w:iCs/>
          <w:sz w:val="24"/>
        </w:rPr>
      </w:pPr>
    </w:p>
    <w:p w:rsidR="00F0272D" w:rsidRPr="00F0272D" w:rsidRDefault="00F0272D" w:rsidP="00F0272D">
      <w:pPr>
        <w:rPr>
          <w:rFonts w:asciiTheme="minorHAnsi" w:hAnsiTheme="minorHAnsi" w:cstheme="minorHAnsi"/>
          <w:b/>
          <w:bCs/>
          <w:sz w:val="24"/>
        </w:rPr>
      </w:pPr>
      <w:r w:rsidRPr="00F0272D">
        <w:rPr>
          <w:rFonts w:asciiTheme="minorHAnsi" w:hAnsiTheme="minorHAnsi" w:cstheme="minorHAnsi"/>
          <w:b/>
          <w:bCs/>
          <w:sz w:val="24"/>
        </w:rPr>
        <w:t>Use the legislation</w:t>
      </w:r>
    </w:p>
    <w:p w:rsidR="00F0272D" w:rsidRPr="00F0272D" w:rsidRDefault="00F0272D" w:rsidP="00F0272D">
      <w:pPr>
        <w:rPr>
          <w:rFonts w:asciiTheme="minorHAnsi" w:hAnsiTheme="minorHAnsi" w:cstheme="minorHAnsi"/>
          <w:b/>
          <w:bCs/>
          <w:i/>
          <w:iCs/>
          <w:sz w:val="24"/>
        </w:rPr>
      </w:pPr>
    </w:p>
    <w:p w:rsidR="00F0272D" w:rsidRDefault="00F0272D" w:rsidP="00F0272D">
      <w:pPr>
        <w:rPr>
          <w:rFonts w:asciiTheme="minorHAnsi" w:hAnsiTheme="minorHAnsi" w:cstheme="minorHAnsi"/>
          <w:sz w:val="24"/>
        </w:rPr>
      </w:pPr>
      <w:r w:rsidRPr="00F0272D">
        <w:rPr>
          <w:rFonts w:asciiTheme="minorHAnsi" w:hAnsiTheme="minorHAnsi" w:cstheme="minorHAnsi"/>
          <w:b/>
          <w:bCs/>
          <w:i/>
          <w:iCs/>
          <w:sz w:val="24"/>
        </w:rPr>
        <w:t>DIY the arbitration</w:t>
      </w:r>
      <w:r w:rsidRPr="00F0272D">
        <w:rPr>
          <w:rFonts w:asciiTheme="minorHAnsi" w:hAnsiTheme="minorHAnsi" w:cstheme="minorHAnsi"/>
          <w:sz w:val="24"/>
        </w:rPr>
        <w:t>, represent yourself, however you cannot claim your costs from your year end and will be unable to consult with an impartial person as to the issues you need to consider.</w:t>
      </w:r>
    </w:p>
    <w:p w:rsidR="00F0272D" w:rsidRPr="00F0272D" w:rsidRDefault="00F0272D" w:rsidP="00F0272D">
      <w:pPr>
        <w:rPr>
          <w:rFonts w:asciiTheme="minorHAnsi" w:hAnsiTheme="minorHAnsi" w:cstheme="minorHAnsi"/>
          <w:sz w:val="24"/>
        </w:rPr>
      </w:pPr>
    </w:p>
    <w:p w:rsidR="00F0272D" w:rsidRPr="00F0272D" w:rsidRDefault="00F0272D" w:rsidP="00F0272D">
      <w:pPr>
        <w:rPr>
          <w:rFonts w:asciiTheme="minorHAnsi" w:hAnsiTheme="minorHAnsi" w:cstheme="minorHAnsi"/>
          <w:sz w:val="24"/>
        </w:rPr>
      </w:pPr>
      <w:r w:rsidRPr="00F0272D">
        <w:rPr>
          <w:rFonts w:asciiTheme="minorHAnsi" w:hAnsiTheme="minorHAnsi" w:cstheme="minorHAnsi"/>
          <w:b/>
          <w:bCs/>
          <w:i/>
          <w:iCs/>
          <w:sz w:val="24"/>
        </w:rPr>
        <w:t>Get representation in the Arbitration</w:t>
      </w:r>
      <w:r w:rsidRPr="00F0272D">
        <w:rPr>
          <w:rFonts w:asciiTheme="minorHAnsi" w:hAnsiTheme="minorHAnsi" w:cstheme="minorHAnsi"/>
          <w:b/>
          <w:bCs/>
          <w:sz w:val="24"/>
        </w:rPr>
        <w:t>,</w:t>
      </w:r>
      <w:r w:rsidRPr="00F0272D">
        <w:rPr>
          <w:rFonts w:asciiTheme="minorHAnsi" w:hAnsiTheme="minorHAnsi" w:cstheme="minorHAnsi"/>
          <w:sz w:val="24"/>
        </w:rPr>
        <w:t xml:space="preserve"> use someone experienced with statutory arbitration, you can claim the costs and get to benefit from the experience of many other cases that may precede yours and strategies to gain the best possible outcome for you and your business.</w:t>
      </w:r>
    </w:p>
    <w:p w:rsidR="00F0272D" w:rsidRPr="00F0272D" w:rsidRDefault="00F0272D" w:rsidP="00F0272D">
      <w:pPr>
        <w:rPr>
          <w:rFonts w:asciiTheme="minorHAnsi" w:hAnsiTheme="minorHAnsi" w:cstheme="minorHAnsi"/>
          <w:sz w:val="24"/>
        </w:rPr>
      </w:pPr>
      <w:r w:rsidRPr="00F0272D">
        <w:rPr>
          <w:rFonts w:asciiTheme="minorHAnsi" w:hAnsiTheme="minorHAnsi" w:cstheme="minorHAnsi"/>
          <w:sz w:val="24"/>
        </w:rPr>
        <w:t xml:space="preserve">Protected Rent Debt Service are offering representation in this commercial rent arbitration process, unfortunately there is no funding available, but you can claim your costs as a legitimate business expense. The team behind Protected Rent Debt has a long track record in winning </w:t>
      </w:r>
      <w:r w:rsidRPr="00F0272D">
        <w:rPr>
          <w:rFonts w:asciiTheme="minorHAnsi" w:hAnsiTheme="minorHAnsi" w:cstheme="minorHAnsi"/>
          <w:sz w:val="24"/>
        </w:rPr>
        <w:lastRenderedPageBreak/>
        <w:t>statutory arbitrations and has extensive expertise not only with the development of business legislation (including this legislation where we acted as stakeholders) but with rent setting and commercial debt advice, setting up family arrangement. If you are after independent advice free from vested interests, then we can help you.</w:t>
      </w:r>
    </w:p>
    <w:p w:rsidR="00F0272D" w:rsidRPr="00F0272D" w:rsidRDefault="00F0272D" w:rsidP="00F0272D">
      <w:pPr>
        <w:rPr>
          <w:rFonts w:asciiTheme="minorHAnsi" w:hAnsiTheme="minorHAnsi" w:cstheme="minorHAnsi"/>
          <w:sz w:val="24"/>
        </w:rPr>
      </w:pPr>
    </w:p>
    <w:p w:rsidR="00F0272D" w:rsidRPr="00F0272D" w:rsidRDefault="00F0272D" w:rsidP="00F0272D">
      <w:pPr>
        <w:rPr>
          <w:rFonts w:asciiTheme="minorHAnsi" w:hAnsiTheme="minorHAnsi" w:cstheme="minorHAnsi"/>
          <w:sz w:val="24"/>
        </w:rPr>
      </w:pPr>
    </w:p>
    <w:p w:rsidR="00F0272D" w:rsidRPr="00F0272D" w:rsidRDefault="00F0272D" w:rsidP="00F0272D">
      <w:pPr>
        <w:rPr>
          <w:rFonts w:asciiTheme="minorHAnsi" w:hAnsiTheme="minorHAnsi" w:cstheme="minorHAnsi"/>
          <w:sz w:val="24"/>
        </w:rPr>
      </w:pPr>
    </w:p>
    <w:p w:rsidR="00CF68BE" w:rsidRPr="00F0272D" w:rsidRDefault="004B5C5F" w:rsidP="00F0272D">
      <w:pPr>
        <w:jc w:val="center"/>
        <w:rPr>
          <w:rFonts w:asciiTheme="minorHAnsi" w:hAnsiTheme="minorHAnsi" w:cstheme="minorHAnsi"/>
          <w:sz w:val="24"/>
        </w:rPr>
      </w:pPr>
    </w:p>
    <w:sectPr w:rsidR="00CF68BE" w:rsidRPr="00F0272D" w:rsidSect="00902B4A">
      <w:headerReference w:type="default" r:id="rId7"/>
      <w:footerReference w:type="default" r:id="rId8"/>
      <w:headerReference w:type="first" r:id="rId9"/>
      <w:footerReference w:type="first" r:id="rId10"/>
      <w:pgSz w:w="11900" w:h="16840"/>
      <w:pgMar w:top="1440" w:right="985" w:bottom="1440" w:left="993" w:header="426" w:footer="500" w:gutter="0"/>
      <w:cols w:space="720"/>
      <w:titlePg/>
      <w:docGrid w:linePitch="8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C5F" w:rsidRDefault="004B5C5F" w:rsidP="00545746">
      <w:r>
        <w:separator/>
      </w:r>
    </w:p>
  </w:endnote>
  <w:endnote w:type="continuationSeparator" w:id="1">
    <w:p w:rsidR="004B5C5F" w:rsidRDefault="004B5C5F" w:rsidP="00545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2A" w:rsidRPr="00EB0D53" w:rsidRDefault="00F24F2A" w:rsidP="00EB0D53">
    <w:pPr>
      <w:pStyle w:val="Footer"/>
      <w:jc w:val="right"/>
      <w:rPr>
        <w:b/>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53" w:rsidRPr="00F24F2A" w:rsidRDefault="00EB0D53" w:rsidP="00EB0D53">
    <w:pPr>
      <w:pStyle w:val="Footer"/>
      <w:tabs>
        <w:tab w:val="left" w:pos="2560"/>
      </w:tabs>
      <w:jc w:val="center"/>
      <w:rPr>
        <w:b/>
        <w:sz w:val="16"/>
        <w:szCs w:val="16"/>
      </w:rPr>
    </w:pPr>
    <w:r w:rsidRPr="00F24F2A">
      <w:rPr>
        <w:b/>
        <w:sz w:val="16"/>
        <w:szCs w:val="16"/>
      </w:rPr>
      <w:t>www.guardiansofthearches.org.uk</w:t>
    </w:r>
  </w:p>
  <w:p w:rsidR="00EB0D53" w:rsidRPr="00F24F2A" w:rsidRDefault="00EB0D53" w:rsidP="00EB0D53">
    <w:pPr>
      <w:pStyle w:val="Footer"/>
      <w:tabs>
        <w:tab w:val="left" w:pos="2560"/>
      </w:tabs>
      <w:jc w:val="center"/>
      <w:rPr>
        <w:sz w:val="16"/>
        <w:szCs w:val="16"/>
      </w:rPr>
    </w:pPr>
  </w:p>
  <w:p w:rsidR="00EB0D53" w:rsidRPr="00A45D0D" w:rsidRDefault="00EB0D53" w:rsidP="00EB0D53">
    <w:pPr>
      <w:pStyle w:val="Footer"/>
      <w:tabs>
        <w:tab w:val="left" w:pos="2560"/>
      </w:tabs>
      <w:jc w:val="center"/>
      <w:rPr>
        <w:sz w:val="16"/>
        <w:szCs w:val="16"/>
      </w:rPr>
    </w:pPr>
    <w:hyperlink r:id="rId1" w:history="1">
      <w:r w:rsidRPr="00A45D0D">
        <w:rPr>
          <w:rStyle w:val="Hyperlink"/>
          <w:color w:val="000000" w:themeColor="text1"/>
          <w:sz w:val="16"/>
          <w:szCs w:val="16"/>
          <w:u w:val="none"/>
        </w:rPr>
        <w:t>contact@guardiansofthearches.org.uk</w:t>
      </w:r>
    </w:hyperlink>
    <w:r w:rsidRPr="00A45D0D">
      <w:rPr>
        <w:sz w:val="16"/>
        <w:szCs w:val="16"/>
      </w:rPr>
      <w:t xml:space="preserve"> | +44 (0)7957 633 869 | +44 (0)20 8265 1448</w:t>
    </w:r>
  </w:p>
  <w:p w:rsidR="00EB0D53" w:rsidRPr="00F24F2A" w:rsidRDefault="00EB0D53" w:rsidP="00EB0D53">
    <w:pPr>
      <w:pStyle w:val="Footer"/>
      <w:tabs>
        <w:tab w:val="left" w:pos="2560"/>
      </w:tabs>
      <w:jc w:val="center"/>
      <w:rPr>
        <w:sz w:val="16"/>
        <w:szCs w:val="16"/>
      </w:rPr>
    </w:pPr>
  </w:p>
  <w:p w:rsidR="00EB0D53" w:rsidRPr="00A45D0D" w:rsidRDefault="00EB0D53" w:rsidP="00EB0D53">
    <w:pPr>
      <w:pStyle w:val="Footer"/>
      <w:tabs>
        <w:tab w:val="left" w:pos="2560"/>
      </w:tabs>
      <w:jc w:val="center"/>
      <w:rPr>
        <w:color w:val="A5A5A5" w:themeColor="accent3"/>
        <w:sz w:val="16"/>
        <w:szCs w:val="16"/>
      </w:rPr>
    </w:pPr>
    <w:r w:rsidRPr="00A45D0D">
      <w:rPr>
        <w:color w:val="A5A5A5" w:themeColor="accent3"/>
        <w:sz w:val="16"/>
        <w:szCs w:val="16"/>
      </w:rPr>
      <w:t>Guardians of the Arches Limited is a non-profit, Independent Tenants Association registered in England and Wales</w:t>
    </w:r>
  </w:p>
  <w:p w:rsidR="00EB0D53" w:rsidRPr="00A45D0D" w:rsidRDefault="00EB0D53" w:rsidP="00EB0D53">
    <w:pPr>
      <w:pStyle w:val="Footer"/>
      <w:tabs>
        <w:tab w:val="left" w:pos="2560"/>
      </w:tabs>
      <w:jc w:val="center"/>
      <w:rPr>
        <w:color w:val="A5A5A5" w:themeColor="accent3"/>
        <w:sz w:val="16"/>
        <w:szCs w:val="16"/>
      </w:rPr>
    </w:pPr>
    <w:r w:rsidRPr="00A45D0D">
      <w:rPr>
        <w:color w:val="A5A5A5" w:themeColor="accent3"/>
        <w:sz w:val="16"/>
        <w:szCs w:val="16"/>
      </w:rPr>
      <w:t>Registered address:  Railway Arch 5, Cherry Tree Walk, Leeds, LS2 7EB</w:t>
    </w:r>
  </w:p>
  <w:p w:rsidR="00EB0D53" w:rsidRPr="00EB0D53" w:rsidRDefault="00EB0D53" w:rsidP="00EB0D53">
    <w:pPr>
      <w:pStyle w:val="Footer"/>
      <w:tabs>
        <w:tab w:val="clear" w:pos="4513"/>
        <w:tab w:val="clear" w:pos="9026"/>
        <w:tab w:val="left" w:pos="2560"/>
      </w:tabs>
      <w:jc w:val="center"/>
      <w:rPr>
        <w:color w:val="A5A5A5" w:themeColor="accent3"/>
        <w:sz w:val="16"/>
        <w:szCs w:val="16"/>
      </w:rPr>
    </w:pPr>
    <w:r w:rsidRPr="00A45D0D">
      <w:rPr>
        <w:color w:val="A5A5A5" w:themeColor="accent3"/>
        <w:sz w:val="16"/>
        <w:szCs w:val="16"/>
      </w:rPr>
      <w:t>Company Number 11324834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C5F" w:rsidRDefault="004B5C5F" w:rsidP="00545746">
      <w:r>
        <w:separator/>
      </w:r>
    </w:p>
  </w:footnote>
  <w:footnote w:type="continuationSeparator" w:id="1">
    <w:p w:rsidR="004B5C5F" w:rsidRDefault="004B5C5F" w:rsidP="00545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B0D53" w:rsidRDefault="00EB0D53">
        <w:pPr>
          <w:pStyle w:val="Header"/>
          <w:jc w:val="right"/>
        </w:pPr>
        <w:r w:rsidRPr="00EB0D53">
          <w:drawing>
            <wp:anchor distT="0" distB="0" distL="114300" distR="114300" simplePos="0" relativeHeight="251658240" behindDoc="0" locked="0" layoutInCell="1" allowOverlap="1">
              <wp:simplePos x="0" y="0"/>
              <wp:positionH relativeFrom="column">
                <wp:posOffset>-158499</wp:posOffset>
              </wp:positionH>
              <wp:positionV relativeFrom="paragraph">
                <wp:posOffset>31494</wp:posOffset>
              </wp:positionV>
              <wp:extent cx="987628" cy="982972"/>
              <wp:effectExtent l="19050" t="0" r="2972"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colou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87628" cy="982972"/>
                      </a:xfrm>
                      <a:prstGeom prst="rect">
                        <a:avLst/>
                      </a:prstGeom>
                    </pic:spPr>
                  </pic:pic>
                </a:graphicData>
              </a:graphic>
            </wp:anchor>
          </w:drawing>
        </w:r>
        <w:r w:rsidRPr="00EB0D53">
          <w:rPr>
            <w:rFonts w:asciiTheme="minorHAnsi" w:hAnsiTheme="minorHAnsi" w:cstheme="minorHAnsi"/>
            <w:sz w:val="24"/>
          </w:rPr>
          <w:t xml:space="preserve">Page </w:t>
        </w:r>
        <w:r w:rsidRPr="00EB0D53">
          <w:rPr>
            <w:rFonts w:asciiTheme="minorHAnsi" w:hAnsiTheme="minorHAnsi" w:cstheme="minorHAnsi"/>
            <w:b/>
            <w:sz w:val="24"/>
          </w:rPr>
          <w:fldChar w:fldCharType="begin"/>
        </w:r>
        <w:r w:rsidRPr="00EB0D53">
          <w:rPr>
            <w:rFonts w:asciiTheme="minorHAnsi" w:hAnsiTheme="minorHAnsi" w:cstheme="minorHAnsi"/>
            <w:b/>
            <w:sz w:val="24"/>
          </w:rPr>
          <w:instrText xml:space="preserve"> PAGE </w:instrText>
        </w:r>
        <w:r w:rsidRPr="00EB0D53">
          <w:rPr>
            <w:rFonts w:asciiTheme="minorHAnsi" w:hAnsiTheme="minorHAnsi" w:cstheme="minorHAnsi"/>
            <w:b/>
            <w:sz w:val="24"/>
          </w:rPr>
          <w:fldChar w:fldCharType="separate"/>
        </w:r>
        <w:r w:rsidR="00F0272D">
          <w:rPr>
            <w:rFonts w:asciiTheme="minorHAnsi" w:hAnsiTheme="minorHAnsi" w:cstheme="minorHAnsi"/>
            <w:b/>
            <w:noProof/>
            <w:sz w:val="24"/>
          </w:rPr>
          <w:t>2</w:t>
        </w:r>
        <w:r w:rsidRPr="00EB0D53">
          <w:rPr>
            <w:rFonts w:asciiTheme="minorHAnsi" w:hAnsiTheme="minorHAnsi" w:cstheme="minorHAnsi"/>
            <w:b/>
            <w:sz w:val="24"/>
          </w:rPr>
          <w:fldChar w:fldCharType="end"/>
        </w:r>
        <w:r w:rsidRPr="00EB0D53">
          <w:rPr>
            <w:rFonts w:asciiTheme="minorHAnsi" w:hAnsiTheme="minorHAnsi" w:cstheme="minorHAnsi"/>
            <w:sz w:val="24"/>
          </w:rPr>
          <w:t xml:space="preserve"> of </w:t>
        </w:r>
        <w:r w:rsidRPr="00EB0D53">
          <w:rPr>
            <w:rFonts w:asciiTheme="minorHAnsi" w:hAnsiTheme="minorHAnsi" w:cstheme="minorHAnsi"/>
            <w:b/>
            <w:sz w:val="24"/>
          </w:rPr>
          <w:fldChar w:fldCharType="begin"/>
        </w:r>
        <w:r w:rsidRPr="00EB0D53">
          <w:rPr>
            <w:rFonts w:asciiTheme="minorHAnsi" w:hAnsiTheme="minorHAnsi" w:cstheme="minorHAnsi"/>
            <w:b/>
            <w:sz w:val="24"/>
          </w:rPr>
          <w:instrText xml:space="preserve"> NUMPAGES  </w:instrText>
        </w:r>
        <w:r w:rsidRPr="00EB0D53">
          <w:rPr>
            <w:rFonts w:asciiTheme="minorHAnsi" w:hAnsiTheme="minorHAnsi" w:cstheme="minorHAnsi"/>
            <w:b/>
            <w:sz w:val="24"/>
          </w:rPr>
          <w:fldChar w:fldCharType="separate"/>
        </w:r>
        <w:r w:rsidR="00F0272D">
          <w:rPr>
            <w:rFonts w:asciiTheme="minorHAnsi" w:hAnsiTheme="minorHAnsi" w:cstheme="minorHAnsi"/>
            <w:b/>
            <w:noProof/>
            <w:sz w:val="24"/>
          </w:rPr>
          <w:t>2</w:t>
        </w:r>
        <w:r w:rsidRPr="00EB0D53">
          <w:rPr>
            <w:rFonts w:asciiTheme="minorHAnsi" w:hAnsiTheme="minorHAnsi" w:cstheme="minorHAnsi"/>
            <w:b/>
            <w:sz w:val="24"/>
          </w:rPr>
          <w:fldChar w:fldCharType="end"/>
        </w:r>
      </w:p>
    </w:sdtContent>
  </w:sdt>
  <w:p w:rsidR="00545746" w:rsidRDefault="00545746" w:rsidP="00EB0D53">
    <w:pPr>
      <w:pStyle w:val="Header"/>
      <w:ind w:left="0"/>
    </w:pPr>
  </w:p>
  <w:p w:rsidR="00EB0D53" w:rsidRDefault="00EB0D53" w:rsidP="00EB0D53">
    <w:pPr>
      <w:pStyle w:val="Header"/>
      <w:ind w:left="0"/>
      <w:rPr>
        <w:sz w:val="24"/>
      </w:rPr>
    </w:pPr>
  </w:p>
  <w:p w:rsidR="00902B4A" w:rsidRPr="00EB0D53" w:rsidRDefault="00902B4A" w:rsidP="00902B4A">
    <w:pPr>
      <w:rPr>
        <w:rFonts w:asciiTheme="minorHAnsi" w:hAnsiTheme="minorHAnsi" w:cstheme="minorHAnsi"/>
        <w:sz w:val="32"/>
        <w:szCs w:val="32"/>
      </w:rPr>
    </w:pPr>
    <w:r>
      <w:rPr>
        <w:sz w:val="24"/>
      </w:rPr>
      <w:tab/>
    </w:r>
    <w:r>
      <w:rPr>
        <w:sz w:val="24"/>
      </w:rPr>
      <w:tab/>
    </w:r>
  </w:p>
  <w:p w:rsidR="00EB0D53" w:rsidRPr="00EB0D53" w:rsidRDefault="00EB0D53" w:rsidP="00EB0D53">
    <w:pPr>
      <w:pStyle w:val="Header"/>
      <w:ind w:left="0"/>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53" w:rsidRDefault="00EB0D53" w:rsidP="00EB0D53">
    <w:pPr>
      <w:pStyle w:val="Header"/>
      <w:jc w:val="center"/>
    </w:pPr>
    <w:r w:rsidRPr="00EB0D53">
      <w:drawing>
        <wp:inline distT="0" distB="0" distL="0" distR="0">
          <wp:extent cx="1232535" cy="1228359"/>
          <wp:effectExtent l="0" t="0" r="1206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colou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96989" cy="12925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E02"/>
    <w:multiLevelType w:val="hybridMultilevel"/>
    <w:tmpl w:val="474C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300"/>
  <w:drawingGridVerticalSpacing w:val="408"/>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545746"/>
    <w:rsid w:val="001A530B"/>
    <w:rsid w:val="001E4FDA"/>
    <w:rsid w:val="00285001"/>
    <w:rsid w:val="00351D29"/>
    <w:rsid w:val="003668FC"/>
    <w:rsid w:val="003874E5"/>
    <w:rsid w:val="003A37D7"/>
    <w:rsid w:val="004B5C5F"/>
    <w:rsid w:val="00545746"/>
    <w:rsid w:val="00553F01"/>
    <w:rsid w:val="005A71EA"/>
    <w:rsid w:val="006F5889"/>
    <w:rsid w:val="00823240"/>
    <w:rsid w:val="008F3779"/>
    <w:rsid w:val="00902B4A"/>
    <w:rsid w:val="0092386D"/>
    <w:rsid w:val="00A45D0D"/>
    <w:rsid w:val="00C35EE5"/>
    <w:rsid w:val="00CE10BB"/>
    <w:rsid w:val="00EB0D53"/>
    <w:rsid w:val="00F0272D"/>
    <w:rsid w:val="00F24F2A"/>
    <w:rsid w:val="00FB0321"/>
    <w:rsid w:val="00FC0F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ame"/>
    <w:qFormat/>
    <w:rsid w:val="003874E5"/>
    <w:pPr>
      <w:ind w:left="480"/>
    </w:pPr>
    <w:rPr>
      <w:rFonts w:ascii="Arial" w:hAnsi="Arial"/>
      <w:color w:val="000000" w:themeColor="text1"/>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46"/>
    <w:pPr>
      <w:tabs>
        <w:tab w:val="center" w:pos="4513"/>
        <w:tab w:val="right" w:pos="9026"/>
      </w:tabs>
    </w:pPr>
  </w:style>
  <w:style w:type="character" w:customStyle="1" w:styleId="HeaderChar">
    <w:name w:val="Header Char"/>
    <w:basedOn w:val="DefaultParagraphFont"/>
    <w:link w:val="Header"/>
    <w:uiPriority w:val="99"/>
    <w:rsid w:val="00545746"/>
    <w:rPr>
      <w:rFonts w:ascii="Arial" w:hAnsi="Arial"/>
      <w:color w:val="000000" w:themeColor="text1"/>
      <w:sz w:val="60"/>
    </w:rPr>
  </w:style>
  <w:style w:type="paragraph" w:styleId="Footer">
    <w:name w:val="footer"/>
    <w:basedOn w:val="Normal"/>
    <w:link w:val="FooterChar"/>
    <w:uiPriority w:val="99"/>
    <w:unhideWhenUsed/>
    <w:rsid w:val="00545746"/>
    <w:pPr>
      <w:tabs>
        <w:tab w:val="center" w:pos="4513"/>
        <w:tab w:val="right" w:pos="9026"/>
      </w:tabs>
    </w:pPr>
  </w:style>
  <w:style w:type="character" w:customStyle="1" w:styleId="FooterChar">
    <w:name w:val="Footer Char"/>
    <w:basedOn w:val="DefaultParagraphFont"/>
    <w:link w:val="Footer"/>
    <w:uiPriority w:val="99"/>
    <w:rsid w:val="00545746"/>
    <w:rPr>
      <w:rFonts w:ascii="Arial" w:hAnsi="Arial"/>
      <w:color w:val="000000" w:themeColor="text1"/>
      <w:sz w:val="60"/>
    </w:rPr>
  </w:style>
  <w:style w:type="character" w:styleId="Hyperlink">
    <w:name w:val="Hyperlink"/>
    <w:basedOn w:val="DefaultParagraphFont"/>
    <w:uiPriority w:val="99"/>
    <w:unhideWhenUsed/>
    <w:rsid w:val="00F24F2A"/>
    <w:rPr>
      <w:color w:val="0563C1" w:themeColor="hyperlink"/>
      <w:u w:val="single"/>
    </w:rPr>
  </w:style>
  <w:style w:type="paragraph" w:styleId="ListParagraph">
    <w:name w:val="List Paragraph"/>
    <w:basedOn w:val="Normal"/>
    <w:uiPriority w:val="34"/>
    <w:qFormat/>
    <w:rsid w:val="00CE10BB"/>
    <w:pPr>
      <w:ind w:left="720"/>
      <w:contextualSpacing/>
    </w:pPr>
  </w:style>
  <w:style w:type="paragraph" w:styleId="BalloonText">
    <w:name w:val="Balloon Text"/>
    <w:basedOn w:val="Normal"/>
    <w:link w:val="BalloonTextChar"/>
    <w:uiPriority w:val="99"/>
    <w:semiHidden/>
    <w:unhideWhenUsed/>
    <w:rsid w:val="00EB0D53"/>
    <w:rPr>
      <w:rFonts w:ascii="Tahoma" w:hAnsi="Tahoma" w:cs="Tahoma"/>
      <w:sz w:val="16"/>
      <w:szCs w:val="16"/>
    </w:rPr>
  </w:style>
  <w:style w:type="character" w:customStyle="1" w:styleId="BalloonTextChar">
    <w:name w:val="Balloon Text Char"/>
    <w:basedOn w:val="DefaultParagraphFont"/>
    <w:link w:val="BalloonText"/>
    <w:uiPriority w:val="99"/>
    <w:semiHidden/>
    <w:rsid w:val="00EB0D53"/>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divs>
    <w:div w:id="864709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ntact@guardiansofthearch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2022-02-15T16:59:00Z</dcterms:created>
  <dcterms:modified xsi:type="dcterms:W3CDTF">2022-02-15T16:59:00Z</dcterms:modified>
</cp:coreProperties>
</file>